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DB095D">
        <w:t>1</w:t>
      </w:r>
      <w:r w:rsidR="008571D9">
        <w:t>1</w:t>
      </w:r>
      <w:r w:rsidR="003C5541">
        <w:t xml:space="preserve"> </w:t>
      </w:r>
      <w:r w:rsidR="00A9285B">
        <w:t>HR Focus Role</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84D6D" w:rsidTr="00884D6D">
        <w:tc>
          <w:tcPr>
            <w:tcW w:w="2547"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Resource allocation and budgeting</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Direct operations involving high level financial planning and resource allocation.</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rPr>
          <w:trHeight w:val="320"/>
        </w:trPr>
        <w:tc>
          <w:tcPr>
            <w:tcW w:w="2547"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Financial regulations</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Oversee compliance with financial regulations and best practice and contribute to the update of financial regulations and central practices.</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c>
          <w:tcPr>
            <w:tcW w:w="2547"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Financial planning</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Deliver strategic financial planning process.</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c>
          <w:tcPr>
            <w:tcW w:w="2547"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Business Cases</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Prepare and manage the delivery of complex business cases.</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rPr>
          <w:trHeight w:val="431"/>
        </w:trPr>
        <w:tc>
          <w:tcPr>
            <w:tcW w:w="2547"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Resource allocation and budgeting</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Direct operations involving high level financial planning and resource allocation.</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bl>
    <w:p w:rsidR="005318C6" w:rsidRDefault="005318C6" w:rsidP="005318C6">
      <w:pPr>
        <w:rPr>
          <w:rFonts w:ascii="Arial" w:eastAsia="Arial" w:hAnsi="Arial" w:cs="Arial"/>
          <w:sz w:val="24"/>
          <w:szCs w:val="20"/>
        </w:rPr>
      </w:pPr>
    </w:p>
    <w:p w:rsidR="00322CA3" w:rsidRDefault="00190B93" w:rsidP="007A3285">
      <w:pPr>
        <w:pStyle w:val="Heading1"/>
        <w:spacing w:before="1560"/>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84D6D" w:rsidTr="00884D6D">
        <w:tc>
          <w:tcPr>
            <w:tcW w:w="2547" w:type="dxa"/>
            <w:vAlign w:val="bottom"/>
          </w:tcPr>
          <w:p w:rsidR="00884D6D" w:rsidRPr="00195A0F" w:rsidRDefault="00884D6D" w:rsidP="00884D6D">
            <w:pPr>
              <w:pStyle w:val="TableParagraph"/>
              <w:ind w:right="110"/>
              <w:rPr>
                <w:rFonts w:ascii="Arial" w:hAnsi="Arial" w:cs="Arial"/>
                <w:sz w:val="20"/>
              </w:rPr>
            </w:pPr>
            <w:r w:rsidRPr="00195A0F">
              <w:rPr>
                <w:rFonts w:ascii="Arial" w:hAnsi="Arial" w:cs="Arial"/>
                <w:sz w:val="20"/>
              </w:rPr>
              <w:t>Issues and processes</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Oversee management of HR-related activities and promote best practice at senior level in line with University policy and national legislation.</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c>
          <w:tcPr>
            <w:tcW w:w="2547" w:type="dxa"/>
            <w:vAlign w:val="bottom"/>
          </w:tcPr>
          <w:p w:rsidR="00884D6D" w:rsidRPr="00195A0F" w:rsidRDefault="00884D6D" w:rsidP="00884D6D">
            <w:pPr>
              <w:pStyle w:val="TableParagraph"/>
              <w:ind w:right="110"/>
              <w:rPr>
                <w:rFonts w:ascii="Arial" w:hAnsi="Arial" w:cs="Arial"/>
                <w:sz w:val="20"/>
              </w:rPr>
            </w:pPr>
            <w:r w:rsidRPr="00195A0F">
              <w:rPr>
                <w:rFonts w:ascii="Arial" w:hAnsi="Arial" w:cs="Arial"/>
                <w:sz w:val="20"/>
              </w:rPr>
              <w:t>Discipline and grievance</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Participate actively in University grievance, disciplinary, grading and appeal processes and Employment Tribunals.</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c>
          <w:tcPr>
            <w:tcW w:w="2547" w:type="dxa"/>
            <w:vAlign w:val="bottom"/>
          </w:tcPr>
          <w:p w:rsidR="00884D6D" w:rsidRPr="00195A0F" w:rsidRDefault="00884D6D" w:rsidP="00884D6D">
            <w:pPr>
              <w:pStyle w:val="TableParagraph"/>
              <w:ind w:right="110"/>
              <w:rPr>
                <w:rFonts w:ascii="Arial" w:hAnsi="Arial" w:cs="Arial"/>
                <w:sz w:val="20"/>
              </w:rPr>
            </w:pPr>
            <w:r w:rsidRPr="00195A0F">
              <w:rPr>
                <w:rFonts w:ascii="Arial" w:hAnsi="Arial" w:cs="Arial"/>
                <w:sz w:val="20"/>
              </w:rPr>
              <w:t>Recruitment</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Chair local selection panels and participate in University senior appointment panels.</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c>
          <w:tcPr>
            <w:tcW w:w="2547" w:type="dxa"/>
            <w:vAlign w:val="bottom"/>
          </w:tcPr>
          <w:p w:rsidR="00884D6D" w:rsidRPr="00195A0F" w:rsidRDefault="00884D6D" w:rsidP="00884D6D">
            <w:pPr>
              <w:pStyle w:val="TableParagraph"/>
              <w:ind w:right="110"/>
              <w:rPr>
                <w:rFonts w:ascii="Arial" w:hAnsi="Arial" w:cs="Arial"/>
                <w:sz w:val="20"/>
              </w:rPr>
            </w:pPr>
            <w:r w:rsidRPr="00195A0F">
              <w:rPr>
                <w:rFonts w:ascii="Arial" w:hAnsi="Arial" w:cs="Arial"/>
                <w:sz w:val="20"/>
              </w:rPr>
              <w:t>Legislation and best practice</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Use knowledge of policy and legislation to develop compliant local procedures.</w:t>
            </w:r>
          </w:p>
          <w:p w:rsidR="00884D6D" w:rsidRPr="00884D6D" w:rsidRDefault="00884D6D" w:rsidP="00884D6D">
            <w:pPr>
              <w:pStyle w:val="TableParagraph"/>
              <w:ind w:right="110"/>
              <w:rPr>
                <w:rFonts w:ascii="Arial" w:hAnsi="Arial" w:cs="Arial"/>
                <w:sz w:val="20"/>
              </w:rPr>
            </w:pPr>
            <w:r w:rsidRPr="00884D6D">
              <w:rPr>
                <w:rFonts w:ascii="Arial" w:hAnsi="Arial" w:cs="Arial"/>
                <w:sz w:val="20"/>
              </w:rPr>
              <w:t>Advise and guide on complex employment-related issues.</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pPr>
          </w:p>
        </w:tc>
      </w:tr>
      <w:tr w:rsidR="00884D6D" w:rsidTr="00884D6D">
        <w:tc>
          <w:tcPr>
            <w:tcW w:w="2547" w:type="dxa"/>
            <w:vAlign w:val="bottom"/>
          </w:tcPr>
          <w:p w:rsidR="00884D6D" w:rsidRPr="00195A0F" w:rsidRDefault="00884D6D" w:rsidP="00884D6D">
            <w:pPr>
              <w:pStyle w:val="TableParagraph"/>
              <w:ind w:right="110"/>
              <w:rPr>
                <w:rFonts w:ascii="Arial" w:hAnsi="Arial" w:cs="Arial"/>
                <w:sz w:val="20"/>
              </w:rPr>
            </w:pPr>
            <w:r w:rsidRPr="00195A0F">
              <w:rPr>
                <w:rFonts w:ascii="Arial" w:hAnsi="Arial" w:cs="Arial"/>
                <w:sz w:val="20"/>
              </w:rPr>
              <w:t>Workforce planning</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Lead strategic inclusive workforce planning.</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tabs>
                <w:tab w:val="left" w:pos="1005"/>
              </w:tabs>
            </w:pPr>
            <w:r>
              <w:tab/>
            </w:r>
          </w:p>
        </w:tc>
      </w:tr>
      <w:tr w:rsidR="00884D6D" w:rsidTr="00884D6D">
        <w:tc>
          <w:tcPr>
            <w:tcW w:w="2547" w:type="dxa"/>
            <w:vAlign w:val="bottom"/>
          </w:tcPr>
          <w:p w:rsidR="00884D6D" w:rsidRPr="00195A0F" w:rsidRDefault="00884D6D" w:rsidP="00884D6D">
            <w:pPr>
              <w:pStyle w:val="TableParagraph"/>
              <w:ind w:right="110"/>
              <w:rPr>
                <w:rFonts w:ascii="Arial" w:hAnsi="Arial" w:cs="Arial"/>
                <w:sz w:val="20"/>
              </w:rPr>
            </w:pPr>
            <w:r w:rsidRPr="00195A0F">
              <w:rPr>
                <w:rFonts w:ascii="Arial" w:hAnsi="Arial" w:cs="Arial"/>
                <w:sz w:val="20"/>
              </w:rPr>
              <w:t>Strategic HR</w:t>
            </w:r>
          </w:p>
        </w:tc>
        <w:tc>
          <w:tcPr>
            <w:tcW w:w="4536" w:type="dxa"/>
            <w:vAlign w:val="bottom"/>
          </w:tcPr>
          <w:p w:rsidR="00884D6D" w:rsidRPr="00884D6D" w:rsidRDefault="00884D6D" w:rsidP="00884D6D">
            <w:pPr>
              <w:pStyle w:val="TableParagraph"/>
              <w:ind w:right="110"/>
              <w:rPr>
                <w:rFonts w:ascii="Arial" w:hAnsi="Arial" w:cs="Arial"/>
                <w:sz w:val="20"/>
              </w:rPr>
            </w:pPr>
            <w:r w:rsidRPr="00884D6D">
              <w:rPr>
                <w:rFonts w:ascii="Arial" w:hAnsi="Arial" w:cs="Arial"/>
                <w:sz w:val="20"/>
              </w:rPr>
              <w:t>Deliver strategic management and development of an inclusive HR service.</w:t>
            </w:r>
          </w:p>
        </w:tc>
        <w:tc>
          <w:tcPr>
            <w:tcW w:w="1559" w:type="dxa"/>
          </w:tcPr>
          <w:p w:rsidR="00884D6D" w:rsidRDefault="00884D6D" w:rsidP="00884D6D">
            <w:pPr>
              <w:pStyle w:val="Heading1"/>
            </w:pPr>
          </w:p>
        </w:tc>
        <w:tc>
          <w:tcPr>
            <w:tcW w:w="1559" w:type="dxa"/>
          </w:tcPr>
          <w:p w:rsidR="00884D6D" w:rsidRDefault="00884D6D" w:rsidP="00884D6D">
            <w:pPr>
              <w:pStyle w:val="Heading1"/>
            </w:pPr>
          </w:p>
        </w:tc>
        <w:tc>
          <w:tcPr>
            <w:tcW w:w="1560" w:type="dxa"/>
          </w:tcPr>
          <w:p w:rsidR="00884D6D" w:rsidRDefault="00884D6D" w:rsidP="00884D6D">
            <w:pPr>
              <w:pStyle w:val="Heading1"/>
            </w:pPr>
          </w:p>
        </w:tc>
        <w:tc>
          <w:tcPr>
            <w:tcW w:w="3250" w:type="dxa"/>
          </w:tcPr>
          <w:p w:rsidR="00884D6D" w:rsidRDefault="00884D6D" w:rsidP="00884D6D">
            <w:pPr>
              <w:pStyle w:val="Heading1"/>
              <w:tabs>
                <w:tab w:val="left" w:pos="1005"/>
              </w:tabs>
            </w:pPr>
          </w:p>
        </w:tc>
      </w:tr>
    </w:tbl>
    <w:p w:rsidR="00190B93" w:rsidRDefault="00AA2EE8" w:rsidP="006635A3">
      <w:pPr>
        <w:pStyle w:val="Heading1"/>
      </w:pPr>
      <w:r w:rsidRPr="00AA2EE8">
        <w:t>Committee Skills</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7A3285" w:rsidTr="007A3285">
        <w:trPr>
          <w:tblHeader/>
        </w:trPr>
        <w:tc>
          <w:tcPr>
            <w:tcW w:w="2547" w:type="dxa"/>
            <w:shd w:val="clear" w:color="auto" w:fill="F2F2F2" w:themeFill="background1" w:themeFillShade="F2"/>
            <w:vAlign w:val="bottom"/>
          </w:tcPr>
          <w:p w:rsidR="007A3285" w:rsidRPr="00D36C17" w:rsidRDefault="007A3285"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7A3285" w:rsidRPr="00D36C17" w:rsidRDefault="007A3285"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7A3285" w:rsidRDefault="007A3285"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7A3285" w:rsidRDefault="007A3285"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7A3285" w:rsidRPr="00D36C17" w:rsidRDefault="007A3285"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7A3285" w:rsidRDefault="007A3285" w:rsidP="00BB0CE5">
            <w:pPr>
              <w:pStyle w:val="TableParagraph"/>
              <w:spacing w:line="183" w:lineRule="exact"/>
              <w:ind w:left="103"/>
              <w:jc w:val="center"/>
              <w:rPr>
                <w:rFonts w:ascii="Arial" w:hAnsi="Arial" w:cs="Arial"/>
                <w:b/>
                <w:sz w:val="20"/>
              </w:rPr>
            </w:pPr>
            <w:r>
              <w:rPr>
                <w:rFonts w:ascii="Arial" w:hAnsi="Arial" w:cs="Arial"/>
                <w:b/>
                <w:sz w:val="20"/>
              </w:rPr>
              <w:t>Manager</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7A3285" w:rsidRPr="00D36C17" w:rsidRDefault="007A3285"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7A3285" w:rsidRDefault="007A3285" w:rsidP="00BB0CE5">
            <w:pPr>
              <w:pStyle w:val="TableParagraph"/>
              <w:spacing w:line="183" w:lineRule="exact"/>
              <w:jc w:val="center"/>
              <w:rPr>
                <w:rFonts w:ascii="Arial" w:hAnsi="Arial" w:cs="Arial"/>
                <w:b/>
                <w:sz w:val="20"/>
              </w:rPr>
            </w:pPr>
            <w:r>
              <w:rPr>
                <w:rFonts w:ascii="Arial" w:hAnsi="Arial" w:cs="Arial"/>
                <w:b/>
                <w:sz w:val="20"/>
              </w:rPr>
              <w:t>Agreed result</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7A3285" w:rsidRDefault="007A3285" w:rsidP="00BB0CE5">
            <w:pPr>
              <w:pStyle w:val="TableParagraph"/>
              <w:ind w:left="102"/>
              <w:jc w:val="center"/>
              <w:rPr>
                <w:rFonts w:ascii="Arial" w:hAnsi="Arial" w:cs="Arial"/>
                <w:b/>
                <w:sz w:val="20"/>
              </w:rPr>
            </w:pPr>
            <w:r w:rsidRPr="00D36C17">
              <w:rPr>
                <w:rFonts w:ascii="Arial" w:hAnsi="Arial" w:cs="Arial"/>
                <w:b/>
                <w:sz w:val="20"/>
              </w:rPr>
              <w:t>4</w:t>
            </w:r>
          </w:p>
          <w:p w:rsidR="007A3285" w:rsidRPr="00D36C17" w:rsidRDefault="007A3285"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1A1D" w:rsidRPr="00190B93" w:rsidTr="00001A1D">
        <w:tc>
          <w:tcPr>
            <w:tcW w:w="2547" w:type="dxa"/>
            <w:vAlign w:val="bottom"/>
          </w:tcPr>
          <w:p w:rsidR="00001A1D" w:rsidRPr="007A3285" w:rsidRDefault="00001A1D" w:rsidP="00001A1D">
            <w:pPr>
              <w:pStyle w:val="TableParagraph"/>
              <w:ind w:right="110"/>
              <w:rPr>
                <w:rFonts w:ascii="Arial" w:hAnsi="Arial" w:cs="Arial"/>
                <w:sz w:val="20"/>
              </w:rPr>
            </w:pPr>
            <w:r w:rsidRPr="007A3285">
              <w:rPr>
                <w:rFonts w:ascii="Arial" w:hAnsi="Arial" w:cs="Arial"/>
                <w:sz w:val="20"/>
              </w:rPr>
              <w:t>Service and Chair</w:t>
            </w:r>
          </w:p>
        </w:tc>
        <w:tc>
          <w:tcPr>
            <w:tcW w:w="4536" w:type="dxa"/>
            <w:vAlign w:val="bottom"/>
          </w:tcPr>
          <w:p w:rsidR="00001A1D" w:rsidRPr="00001A1D" w:rsidRDefault="00001A1D" w:rsidP="00001A1D">
            <w:pPr>
              <w:pStyle w:val="TableParagraph"/>
              <w:ind w:right="110"/>
              <w:rPr>
                <w:rFonts w:ascii="Arial" w:hAnsi="Arial" w:cs="Arial"/>
                <w:sz w:val="20"/>
              </w:rPr>
            </w:pPr>
            <w:r w:rsidRPr="00001A1D">
              <w:rPr>
                <w:rFonts w:ascii="Arial" w:hAnsi="Arial" w:cs="Arial"/>
                <w:sz w:val="20"/>
              </w:rPr>
              <w:t>Service, participate in and chair committees and groups at University and national level.</w:t>
            </w:r>
          </w:p>
        </w:tc>
        <w:tc>
          <w:tcPr>
            <w:tcW w:w="1559" w:type="dxa"/>
          </w:tcPr>
          <w:p w:rsidR="00001A1D" w:rsidRPr="00190B93" w:rsidRDefault="00001A1D" w:rsidP="00001A1D">
            <w:pPr>
              <w:pStyle w:val="Heading1"/>
              <w:rPr>
                <w:i/>
              </w:rPr>
            </w:pPr>
          </w:p>
        </w:tc>
        <w:tc>
          <w:tcPr>
            <w:tcW w:w="1559" w:type="dxa"/>
          </w:tcPr>
          <w:p w:rsidR="00001A1D" w:rsidRPr="00190B93" w:rsidRDefault="00001A1D" w:rsidP="00001A1D">
            <w:pPr>
              <w:pStyle w:val="Heading1"/>
              <w:rPr>
                <w:i/>
              </w:rPr>
            </w:pPr>
          </w:p>
        </w:tc>
        <w:tc>
          <w:tcPr>
            <w:tcW w:w="1560" w:type="dxa"/>
          </w:tcPr>
          <w:p w:rsidR="00001A1D" w:rsidRPr="00190B93" w:rsidRDefault="00001A1D" w:rsidP="00001A1D">
            <w:pPr>
              <w:pStyle w:val="Heading1"/>
              <w:rPr>
                <w:i/>
              </w:rPr>
            </w:pPr>
          </w:p>
        </w:tc>
        <w:tc>
          <w:tcPr>
            <w:tcW w:w="3250" w:type="dxa"/>
          </w:tcPr>
          <w:p w:rsidR="00001A1D" w:rsidRPr="00190B93" w:rsidRDefault="00001A1D" w:rsidP="00001A1D">
            <w:pPr>
              <w:pStyle w:val="Heading1"/>
              <w:rPr>
                <w:i/>
              </w:rPr>
            </w:pPr>
          </w:p>
        </w:tc>
      </w:tr>
      <w:tr w:rsidR="00001A1D" w:rsidRPr="00190B93" w:rsidTr="00001A1D">
        <w:tc>
          <w:tcPr>
            <w:tcW w:w="2547" w:type="dxa"/>
            <w:vAlign w:val="bottom"/>
          </w:tcPr>
          <w:p w:rsidR="00001A1D" w:rsidRPr="007A3285" w:rsidRDefault="00001A1D" w:rsidP="00001A1D">
            <w:pPr>
              <w:pStyle w:val="TableParagraph"/>
              <w:ind w:right="110"/>
              <w:rPr>
                <w:rFonts w:ascii="Arial" w:hAnsi="Arial" w:cs="Arial"/>
                <w:sz w:val="20"/>
              </w:rPr>
            </w:pPr>
            <w:r w:rsidRPr="007A3285">
              <w:rPr>
                <w:rFonts w:ascii="Arial" w:hAnsi="Arial" w:cs="Arial"/>
                <w:sz w:val="20"/>
              </w:rPr>
              <w:t>Advise and brief</w:t>
            </w:r>
          </w:p>
        </w:tc>
        <w:tc>
          <w:tcPr>
            <w:tcW w:w="4536" w:type="dxa"/>
            <w:vAlign w:val="bottom"/>
          </w:tcPr>
          <w:p w:rsidR="00001A1D" w:rsidRPr="00001A1D" w:rsidRDefault="00001A1D" w:rsidP="00001A1D">
            <w:pPr>
              <w:pStyle w:val="TableParagraph"/>
              <w:ind w:right="110"/>
              <w:rPr>
                <w:rFonts w:ascii="Arial" w:hAnsi="Arial" w:cs="Arial"/>
                <w:sz w:val="20"/>
              </w:rPr>
            </w:pPr>
            <w:r w:rsidRPr="00001A1D">
              <w:rPr>
                <w:rFonts w:ascii="Arial" w:hAnsi="Arial" w:cs="Arial"/>
                <w:sz w:val="20"/>
              </w:rPr>
              <w:t>Deliver expert advice, guidance and briefings to senior University members and the wider HE community on issues relevant to committee business.</w:t>
            </w:r>
          </w:p>
        </w:tc>
        <w:tc>
          <w:tcPr>
            <w:tcW w:w="1559" w:type="dxa"/>
          </w:tcPr>
          <w:p w:rsidR="00001A1D" w:rsidRPr="00190B93" w:rsidRDefault="00001A1D" w:rsidP="00001A1D">
            <w:pPr>
              <w:pStyle w:val="Heading1"/>
              <w:rPr>
                <w:i/>
              </w:rPr>
            </w:pPr>
          </w:p>
        </w:tc>
        <w:tc>
          <w:tcPr>
            <w:tcW w:w="1559" w:type="dxa"/>
          </w:tcPr>
          <w:p w:rsidR="00001A1D" w:rsidRPr="00190B93" w:rsidRDefault="00001A1D" w:rsidP="00001A1D">
            <w:pPr>
              <w:pStyle w:val="Heading1"/>
              <w:rPr>
                <w:i/>
              </w:rPr>
            </w:pPr>
          </w:p>
        </w:tc>
        <w:tc>
          <w:tcPr>
            <w:tcW w:w="1560" w:type="dxa"/>
          </w:tcPr>
          <w:p w:rsidR="00001A1D" w:rsidRPr="00190B93" w:rsidRDefault="00001A1D" w:rsidP="00001A1D">
            <w:pPr>
              <w:pStyle w:val="Heading1"/>
              <w:rPr>
                <w:i/>
              </w:rPr>
            </w:pPr>
          </w:p>
        </w:tc>
        <w:tc>
          <w:tcPr>
            <w:tcW w:w="3250" w:type="dxa"/>
          </w:tcPr>
          <w:p w:rsidR="00001A1D" w:rsidRPr="00190B93" w:rsidRDefault="00001A1D" w:rsidP="00001A1D">
            <w:pPr>
              <w:pStyle w:val="Heading1"/>
              <w:rPr>
                <w:i/>
              </w:rPr>
            </w:pPr>
          </w:p>
        </w:tc>
      </w:tr>
      <w:tr w:rsidR="00001A1D" w:rsidRPr="00190B93" w:rsidTr="00001A1D">
        <w:tc>
          <w:tcPr>
            <w:tcW w:w="2547" w:type="dxa"/>
            <w:vAlign w:val="bottom"/>
          </w:tcPr>
          <w:p w:rsidR="00001A1D" w:rsidRPr="007A3285" w:rsidRDefault="00001A1D" w:rsidP="00001A1D">
            <w:pPr>
              <w:pStyle w:val="TableParagraph"/>
              <w:ind w:right="110"/>
              <w:rPr>
                <w:rFonts w:ascii="Arial" w:hAnsi="Arial" w:cs="Arial"/>
                <w:sz w:val="20"/>
              </w:rPr>
            </w:pPr>
            <w:r w:rsidRPr="007A3285">
              <w:rPr>
                <w:rFonts w:ascii="Arial" w:hAnsi="Arial" w:cs="Arial"/>
                <w:sz w:val="20"/>
              </w:rPr>
              <w:t>Oversee outputs</w:t>
            </w:r>
          </w:p>
        </w:tc>
        <w:tc>
          <w:tcPr>
            <w:tcW w:w="4536" w:type="dxa"/>
            <w:vAlign w:val="bottom"/>
          </w:tcPr>
          <w:p w:rsidR="00001A1D" w:rsidRPr="00001A1D" w:rsidRDefault="00001A1D" w:rsidP="00001A1D">
            <w:pPr>
              <w:pStyle w:val="TableParagraph"/>
              <w:ind w:right="110"/>
              <w:rPr>
                <w:rFonts w:ascii="Arial" w:hAnsi="Arial" w:cs="Arial"/>
                <w:sz w:val="20"/>
              </w:rPr>
            </w:pPr>
            <w:r w:rsidRPr="00001A1D">
              <w:rPr>
                <w:rFonts w:ascii="Arial" w:hAnsi="Arial" w:cs="Arial"/>
                <w:sz w:val="20"/>
              </w:rPr>
              <w:t>Define and oversee the focus and outputs of local and University committees to ensure that appropriate priorities and objectives are met.</w:t>
            </w:r>
          </w:p>
        </w:tc>
        <w:tc>
          <w:tcPr>
            <w:tcW w:w="1559" w:type="dxa"/>
          </w:tcPr>
          <w:p w:rsidR="00001A1D" w:rsidRPr="00190B93" w:rsidRDefault="00001A1D" w:rsidP="00001A1D">
            <w:pPr>
              <w:pStyle w:val="Heading1"/>
              <w:rPr>
                <w:i/>
              </w:rPr>
            </w:pPr>
          </w:p>
        </w:tc>
        <w:tc>
          <w:tcPr>
            <w:tcW w:w="1559" w:type="dxa"/>
          </w:tcPr>
          <w:p w:rsidR="00001A1D" w:rsidRPr="00190B93" w:rsidRDefault="00001A1D" w:rsidP="00001A1D">
            <w:pPr>
              <w:pStyle w:val="Heading1"/>
              <w:rPr>
                <w:i/>
              </w:rPr>
            </w:pPr>
          </w:p>
        </w:tc>
        <w:tc>
          <w:tcPr>
            <w:tcW w:w="1560" w:type="dxa"/>
          </w:tcPr>
          <w:p w:rsidR="00001A1D" w:rsidRPr="00190B93" w:rsidRDefault="00001A1D" w:rsidP="00001A1D">
            <w:pPr>
              <w:pStyle w:val="Heading1"/>
              <w:rPr>
                <w:i/>
              </w:rPr>
            </w:pPr>
          </w:p>
        </w:tc>
        <w:tc>
          <w:tcPr>
            <w:tcW w:w="3250" w:type="dxa"/>
          </w:tcPr>
          <w:p w:rsidR="00001A1D" w:rsidRPr="00190B93" w:rsidRDefault="00001A1D" w:rsidP="00001A1D">
            <w:pPr>
              <w:pStyle w:val="Heading1"/>
              <w:rPr>
                <w:i/>
              </w:rPr>
            </w:pPr>
          </w:p>
        </w:tc>
      </w:tr>
    </w:tbl>
    <w:p w:rsidR="00190B93" w:rsidRDefault="00190B93" w:rsidP="00195A0F">
      <w:pPr>
        <w:pStyle w:val="Heading1"/>
        <w:spacing w:before="1560"/>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5A0F" w:rsidTr="00195A0F">
        <w:tc>
          <w:tcPr>
            <w:tcW w:w="2547" w:type="dxa"/>
            <w:vAlign w:val="bottom"/>
          </w:tcPr>
          <w:p w:rsidR="00195A0F" w:rsidRPr="008E3DCE" w:rsidRDefault="00195A0F" w:rsidP="00195A0F">
            <w:pPr>
              <w:pStyle w:val="TableParagraph"/>
              <w:ind w:right="207"/>
              <w:rPr>
                <w:rFonts w:ascii="Arial" w:hAnsi="Arial" w:cs="Arial"/>
                <w:sz w:val="20"/>
              </w:rPr>
            </w:pPr>
            <w:r w:rsidRPr="008E3DCE">
              <w:rPr>
                <w:rFonts w:ascii="Arial" w:hAnsi="Arial" w:cs="Arial"/>
                <w:sz w:val="20"/>
              </w:rPr>
              <w:t>Gather data</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Identify the appropriate method of analysis or investigation.</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8E3DCE" w:rsidRDefault="00195A0F" w:rsidP="00195A0F">
            <w:pPr>
              <w:pStyle w:val="TableParagraph"/>
              <w:ind w:right="207"/>
              <w:rPr>
                <w:rFonts w:ascii="Arial" w:hAnsi="Arial" w:cs="Arial"/>
                <w:sz w:val="20"/>
              </w:rPr>
            </w:pPr>
            <w:proofErr w:type="spellStart"/>
            <w:r w:rsidRPr="008E3DCE">
              <w:rPr>
                <w:rFonts w:ascii="Arial" w:hAnsi="Arial" w:cs="Arial"/>
                <w:sz w:val="20"/>
              </w:rPr>
              <w:t>Analyse</w:t>
            </w:r>
            <w:proofErr w:type="spellEnd"/>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Conduct complex analysis and investigation of data, including for benchmarking purposes; source additional information when required.</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8E3DCE" w:rsidRDefault="00195A0F" w:rsidP="00195A0F">
            <w:pPr>
              <w:pStyle w:val="TableParagraph"/>
              <w:ind w:right="207"/>
              <w:rPr>
                <w:rFonts w:ascii="Arial" w:hAnsi="Arial" w:cs="Arial"/>
                <w:sz w:val="20"/>
              </w:rPr>
            </w:pPr>
            <w:r w:rsidRPr="008E3DCE">
              <w:rPr>
                <w:rFonts w:ascii="Arial" w:hAnsi="Arial" w:cs="Arial"/>
                <w:sz w:val="20"/>
              </w:rPr>
              <w:t>Review and report</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Monitor, review and report on analysis.</w:t>
            </w:r>
          </w:p>
        </w:tc>
        <w:tc>
          <w:tcPr>
            <w:tcW w:w="1559" w:type="dxa"/>
          </w:tcPr>
          <w:p w:rsidR="00195A0F" w:rsidRDefault="00195A0F" w:rsidP="00195A0F">
            <w:pPr>
              <w:pStyle w:val="TableParagraph"/>
              <w:ind w:right="110"/>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bl>
    <w:p w:rsidR="00190B93" w:rsidRDefault="00190B93" w:rsidP="00882907">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1A1D" w:rsidTr="00001A1D">
        <w:tc>
          <w:tcPr>
            <w:tcW w:w="2547" w:type="dxa"/>
          </w:tcPr>
          <w:p w:rsidR="00001A1D" w:rsidRPr="00882907" w:rsidRDefault="00001A1D" w:rsidP="00001A1D">
            <w:pPr>
              <w:pStyle w:val="TableParagraph"/>
              <w:ind w:right="110"/>
              <w:rPr>
                <w:rFonts w:ascii="Arial" w:hAnsi="Arial" w:cs="Arial"/>
                <w:sz w:val="20"/>
              </w:rPr>
            </w:pPr>
            <w:r w:rsidRPr="00882907">
              <w:rPr>
                <w:rFonts w:ascii="Arial" w:hAnsi="Arial" w:cs="Arial"/>
                <w:sz w:val="20"/>
              </w:rPr>
              <w:t>Policy/systems development</w:t>
            </w:r>
          </w:p>
        </w:tc>
        <w:tc>
          <w:tcPr>
            <w:tcW w:w="4536" w:type="dxa"/>
            <w:vAlign w:val="bottom"/>
          </w:tcPr>
          <w:p w:rsidR="00001A1D" w:rsidRPr="00001A1D" w:rsidRDefault="00001A1D" w:rsidP="00001A1D">
            <w:pPr>
              <w:pStyle w:val="TableParagraph"/>
              <w:ind w:right="110"/>
              <w:rPr>
                <w:rFonts w:ascii="Arial" w:hAnsi="Arial" w:cs="Arial"/>
                <w:sz w:val="20"/>
              </w:rPr>
            </w:pPr>
            <w:r w:rsidRPr="00001A1D">
              <w:rPr>
                <w:rFonts w:ascii="Arial" w:hAnsi="Arial" w:cs="Arial"/>
                <w:sz w:val="20"/>
              </w:rPr>
              <w:t>Initiate and manage development and implementation of new policy and processes at local and University level.</w:t>
            </w:r>
          </w:p>
        </w:tc>
        <w:tc>
          <w:tcPr>
            <w:tcW w:w="1559" w:type="dxa"/>
          </w:tcPr>
          <w:p w:rsidR="00001A1D" w:rsidRDefault="00001A1D" w:rsidP="00001A1D">
            <w:pPr>
              <w:pStyle w:val="Heading1"/>
            </w:pPr>
          </w:p>
        </w:tc>
        <w:tc>
          <w:tcPr>
            <w:tcW w:w="1559" w:type="dxa"/>
          </w:tcPr>
          <w:p w:rsidR="00001A1D" w:rsidRDefault="00001A1D" w:rsidP="00001A1D">
            <w:pPr>
              <w:pStyle w:val="Heading1"/>
            </w:pPr>
          </w:p>
        </w:tc>
        <w:tc>
          <w:tcPr>
            <w:tcW w:w="1560" w:type="dxa"/>
          </w:tcPr>
          <w:p w:rsidR="00001A1D" w:rsidRDefault="00001A1D" w:rsidP="00001A1D">
            <w:pPr>
              <w:pStyle w:val="Heading1"/>
            </w:pPr>
          </w:p>
        </w:tc>
        <w:tc>
          <w:tcPr>
            <w:tcW w:w="3250" w:type="dxa"/>
          </w:tcPr>
          <w:p w:rsidR="00001A1D" w:rsidRDefault="00001A1D" w:rsidP="00001A1D">
            <w:pPr>
              <w:pStyle w:val="Heading1"/>
              <w:jc w:val="right"/>
            </w:pPr>
          </w:p>
        </w:tc>
      </w:tr>
      <w:tr w:rsidR="00001A1D" w:rsidTr="00001A1D">
        <w:trPr>
          <w:trHeight w:val="545"/>
        </w:trPr>
        <w:tc>
          <w:tcPr>
            <w:tcW w:w="2547" w:type="dxa"/>
          </w:tcPr>
          <w:p w:rsidR="00001A1D" w:rsidRPr="00882907" w:rsidRDefault="00001A1D" w:rsidP="00001A1D">
            <w:pPr>
              <w:pStyle w:val="TableParagraph"/>
              <w:ind w:right="110"/>
              <w:rPr>
                <w:rFonts w:ascii="Arial" w:hAnsi="Arial" w:cs="Arial"/>
                <w:sz w:val="20"/>
              </w:rPr>
            </w:pPr>
            <w:r w:rsidRPr="00882907">
              <w:rPr>
                <w:rFonts w:ascii="Arial" w:hAnsi="Arial" w:cs="Arial"/>
                <w:sz w:val="20"/>
              </w:rPr>
              <w:t>Policy advice</w:t>
            </w:r>
          </w:p>
        </w:tc>
        <w:tc>
          <w:tcPr>
            <w:tcW w:w="4536" w:type="dxa"/>
            <w:vAlign w:val="bottom"/>
          </w:tcPr>
          <w:p w:rsidR="00001A1D" w:rsidRPr="00001A1D" w:rsidRDefault="00001A1D" w:rsidP="00001A1D">
            <w:pPr>
              <w:pStyle w:val="TableParagraph"/>
              <w:ind w:right="110"/>
              <w:rPr>
                <w:rFonts w:ascii="Arial" w:hAnsi="Arial" w:cs="Arial"/>
                <w:sz w:val="20"/>
              </w:rPr>
            </w:pPr>
            <w:r w:rsidRPr="00001A1D">
              <w:rPr>
                <w:rFonts w:ascii="Arial" w:hAnsi="Arial" w:cs="Arial"/>
                <w:sz w:val="20"/>
              </w:rPr>
              <w:t>Provide strategic policy advice and guidance at senior level on University and national issues.</w:t>
            </w:r>
          </w:p>
        </w:tc>
        <w:tc>
          <w:tcPr>
            <w:tcW w:w="1559" w:type="dxa"/>
          </w:tcPr>
          <w:p w:rsidR="00001A1D" w:rsidRDefault="00001A1D" w:rsidP="00001A1D">
            <w:pPr>
              <w:pStyle w:val="Heading1"/>
            </w:pPr>
          </w:p>
        </w:tc>
        <w:tc>
          <w:tcPr>
            <w:tcW w:w="1559" w:type="dxa"/>
          </w:tcPr>
          <w:p w:rsidR="00001A1D" w:rsidRDefault="00001A1D" w:rsidP="00001A1D">
            <w:pPr>
              <w:pStyle w:val="Heading1"/>
            </w:pPr>
          </w:p>
        </w:tc>
        <w:tc>
          <w:tcPr>
            <w:tcW w:w="1560" w:type="dxa"/>
          </w:tcPr>
          <w:p w:rsidR="00001A1D" w:rsidRDefault="00001A1D" w:rsidP="00001A1D">
            <w:pPr>
              <w:pStyle w:val="Heading1"/>
            </w:pPr>
          </w:p>
        </w:tc>
        <w:tc>
          <w:tcPr>
            <w:tcW w:w="3250" w:type="dxa"/>
          </w:tcPr>
          <w:p w:rsidR="00001A1D" w:rsidRDefault="00001A1D" w:rsidP="00001A1D">
            <w:pPr>
              <w:pStyle w:val="Heading1"/>
              <w:jc w:val="right"/>
            </w:pPr>
          </w:p>
        </w:tc>
      </w:tr>
    </w:tbl>
    <w:p w:rsidR="00190B93" w:rsidRDefault="008B6610" w:rsidP="000C7486">
      <w:pPr>
        <w:pStyle w:val="Heading1"/>
      </w:pPr>
      <w:r>
        <w:t xml:space="preserve">Training, Facilitation </w:t>
      </w:r>
      <w:r w:rsidRPr="008B6610">
        <w:t>and Presentation</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01A1D" w:rsidTr="00001A1D">
        <w:tc>
          <w:tcPr>
            <w:tcW w:w="2547" w:type="dxa"/>
            <w:vAlign w:val="bottom"/>
          </w:tcPr>
          <w:p w:rsidR="00001A1D" w:rsidRPr="000C7486" w:rsidRDefault="00001A1D" w:rsidP="00001A1D">
            <w:pPr>
              <w:pStyle w:val="TableParagraph"/>
              <w:rPr>
                <w:rFonts w:ascii="Arial" w:hAnsi="Arial" w:cs="Arial"/>
                <w:sz w:val="20"/>
              </w:rPr>
            </w:pPr>
            <w:r w:rsidRPr="000C7486">
              <w:rPr>
                <w:rFonts w:ascii="Arial" w:hAnsi="Arial" w:cs="Arial"/>
                <w:sz w:val="20"/>
              </w:rPr>
              <w:t>Briefings and presentations</w:t>
            </w:r>
          </w:p>
        </w:tc>
        <w:tc>
          <w:tcPr>
            <w:tcW w:w="4536" w:type="dxa"/>
            <w:vAlign w:val="bottom"/>
          </w:tcPr>
          <w:p w:rsidR="00001A1D" w:rsidRPr="00001A1D" w:rsidRDefault="00001A1D" w:rsidP="00001A1D">
            <w:pPr>
              <w:pStyle w:val="TableParagraph"/>
              <w:ind w:right="110"/>
              <w:rPr>
                <w:rFonts w:ascii="Arial" w:hAnsi="Arial" w:cs="Arial"/>
                <w:sz w:val="20"/>
              </w:rPr>
            </w:pPr>
            <w:r w:rsidRPr="00001A1D">
              <w:rPr>
                <w:rFonts w:ascii="Arial" w:hAnsi="Arial" w:cs="Arial"/>
                <w:sz w:val="20"/>
              </w:rPr>
              <w:t>Deliver and facilitate presentations, briefings, training sessions and events to a diverse senior audience both internal and external to the University, including those with Trade Unions, UCEA, Government representatives.</w:t>
            </w:r>
          </w:p>
        </w:tc>
        <w:tc>
          <w:tcPr>
            <w:tcW w:w="1559" w:type="dxa"/>
          </w:tcPr>
          <w:p w:rsidR="00001A1D" w:rsidRDefault="00001A1D" w:rsidP="00001A1D">
            <w:pPr>
              <w:pStyle w:val="Heading1"/>
            </w:pPr>
          </w:p>
        </w:tc>
        <w:tc>
          <w:tcPr>
            <w:tcW w:w="1559" w:type="dxa"/>
          </w:tcPr>
          <w:p w:rsidR="00001A1D" w:rsidRDefault="00001A1D" w:rsidP="00001A1D">
            <w:pPr>
              <w:pStyle w:val="Heading1"/>
            </w:pPr>
          </w:p>
        </w:tc>
        <w:tc>
          <w:tcPr>
            <w:tcW w:w="1560" w:type="dxa"/>
          </w:tcPr>
          <w:p w:rsidR="00001A1D" w:rsidRDefault="00001A1D" w:rsidP="00001A1D">
            <w:pPr>
              <w:pStyle w:val="Heading1"/>
            </w:pPr>
          </w:p>
        </w:tc>
        <w:tc>
          <w:tcPr>
            <w:tcW w:w="3250" w:type="dxa"/>
          </w:tcPr>
          <w:p w:rsidR="00001A1D" w:rsidRDefault="00001A1D" w:rsidP="00001A1D">
            <w:pPr>
              <w:pStyle w:val="Heading1"/>
              <w:jc w:val="center"/>
            </w:pPr>
          </w:p>
        </w:tc>
      </w:tr>
      <w:tr w:rsidR="00001A1D" w:rsidTr="00001A1D">
        <w:trPr>
          <w:trHeight w:val="385"/>
        </w:trPr>
        <w:tc>
          <w:tcPr>
            <w:tcW w:w="2547" w:type="dxa"/>
            <w:vAlign w:val="bottom"/>
          </w:tcPr>
          <w:p w:rsidR="00001A1D" w:rsidRPr="000C7486" w:rsidRDefault="00001A1D" w:rsidP="00001A1D">
            <w:pPr>
              <w:pStyle w:val="TableParagraph"/>
              <w:rPr>
                <w:rFonts w:ascii="Arial" w:hAnsi="Arial" w:cs="Arial"/>
                <w:sz w:val="20"/>
              </w:rPr>
            </w:pPr>
            <w:r w:rsidRPr="000C7486">
              <w:rPr>
                <w:rFonts w:ascii="Arial" w:hAnsi="Arial" w:cs="Arial"/>
                <w:sz w:val="20"/>
              </w:rPr>
              <w:t>Facilitation</w:t>
            </w:r>
          </w:p>
        </w:tc>
        <w:tc>
          <w:tcPr>
            <w:tcW w:w="4536" w:type="dxa"/>
            <w:vAlign w:val="bottom"/>
          </w:tcPr>
          <w:p w:rsidR="00001A1D" w:rsidRPr="00001A1D" w:rsidRDefault="00001A1D" w:rsidP="00001A1D">
            <w:pPr>
              <w:pStyle w:val="TableParagraph"/>
              <w:ind w:right="110"/>
              <w:rPr>
                <w:rFonts w:ascii="Arial" w:hAnsi="Arial" w:cs="Arial"/>
                <w:sz w:val="20"/>
              </w:rPr>
            </w:pPr>
            <w:r w:rsidRPr="00001A1D">
              <w:rPr>
                <w:rFonts w:ascii="Arial" w:hAnsi="Arial" w:cs="Arial"/>
                <w:sz w:val="20"/>
              </w:rPr>
              <w:t>Facilitate meetings and events at local and University-wide level.</w:t>
            </w:r>
          </w:p>
        </w:tc>
        <w:tc>
          <w:tcPr>
            <w:tcW w:w="1559" w:type="dxa"/>
          </w:tcPr>
          <w:p w:rsidR="00001A1D" w:rsidRDefault="00001A1D" w:rsidP="00001A1D">
            <w:pPr>
              <w:pStyle w:val="Heading1"/>
            </w:pPr>
          </w:p>
        </w:tc>
        <w:tc>
          <w:tcPr>
            <w:tcW w:w="1559" w:type="dxa"/>
          </w:tcPr>
          <w:p w:rsidR="00001A1D" w:rsidRDefault="00001A1D" w:rsidP="00001A1D">
            <w:pPr>
              <w:pStyle w:val="Heading1"/>
            </w:pPr>
          </w:p>
        </w:tc>
        <w:tc>
          <w:tcPr>
            <w:tcW w:w="1560" w:type="dxa"/>
          </w:tcPr>
          <w:p w:rsidR="00001A1D" w:rsidRDefault="00001A1D" w:rsidP="00001A1D">
            <w:pPr>
              <w:pStyle w:val="Heading1"/>
            </w:pPr>
          </w:p>
        </w:tc>
        <w:tc>
          <w:tcPr>
            <w:tcW w:w="3250" w:type="dxa"/>
          </w:tcPr>
          <w:p w:rsidR="00001A1D" w:rsidRDefault="00001A1D" w:rsidP="00001A1D">
            <w:pPr>
              <w:pStyle w:val="Heading1"/>
              <w:jc w:val="center"/>
            </w:pPr>
          </w:p>
        </w:tc>
      </w:tr>
    </w:tbl>
    <w:p w:rsidR="00190B93" w:rsidRDefault="00637FC9" w:rsidP="00D36B17">
      <w:pPr>
        <w:pStyle w:val="Heading1"/>
        <w:spacing w:before="1560"/>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D26675" w:rsidRPr="00D26675" w:rsidRDefault="002524E3" w:rsidP="00E20AF1">
            <w:pPr>
              <w:pStyle w:val="TableParagraph"/>
              <w:ind w:right="110"/>
              <w:rPr>
                <w:rFonts w:ascii="Arial" w:hAnsi="Arial" w:cs="Arial"/>
                <w:sz w:val="20"/>
              </w:rPr>
            </w:pPr>
            <w:r w:rsidRPr="002524E3">
              <w:rPr>
                <w:rFonts w:ascii="Arial" w:hAnsi="Arial" w:cs="Arial"/>
                <w:sz w:val="20"/>
              </w:rPr>
              <w:t>Competently use Microsoft Office, web-based database systems and specialist software, e.g. CHRIS.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bl>
    <w:p w:rsidR="00190B93" w:rsidRDefault="00190B93" w:rsidP="00D36B17">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2524E3" w:rsidRPr="00190B93" w:rsidTr="002524E3">
        <w:tc>
          <w:tcPr>
            <w:tcW w:w="2547" w:type="dxa"/>
            <w:vAlign w:val="bottom"/>
          </w:tcPr>
          <w:p w:rsidR="002524E3" w:rsidRPr="00471256" w:rsidRDefault="002524E3" w:rsidP="002524E3">
            <w:pPr>
              <w:pStyle w:val="TableParagraph"/>
              <w:ind w:right="-11"/>
              <w:rPr>
                <w:rFonts w:ascii="Arial" w:hAnsi="Arial" w:cs="Arial"/>
                <w:sz w:val="20"/>
              </w:rPr>
            </w:pPr>
            <w:proofErr w:type="spellStart"/>
            <w:r w:rsidRPr="00471256">
              <w:rPr>
                <w:rFonts w:ascii="Arial" w:hAnsi="Arial" w:cs="Arial"/>
                <w:sz w:val="20"/>
              </w:rPr>
              <w:t>Prioritising</w:t>
            </w:r>
            <w:proofErr w:type="spellEnd"/>
          </w:p>
        </w:tc>
        <w:tc>
          <w:tcPr>
            <w:tcW w:w="4536" w:type="dxa"/>
            <w:vAlign w:val="bottom"/>
          </w:tcPr>
          <w:p w:rsidR="002524E3" w:rsidRPr="002524E3" w:rsidRDefault="002524E3" w:rsidP="002524E3">
            <w:pPr>
              <w:pStyle w:val="TableParagraph"/>
              <w:ind w:right="110"/>
              <w:rPr>
                <w:rFonts w:ascii="Arial" w:hAnsi="Arial" w:cs="Arial"/>
                <w:sz w:val="20"/>
              </w:rPr>
            </w:pPr>
            <w:proofErr w:type="spellStart"/>
            <w:r w:rsidRPr="002524E3">
              <w:rPr>
                <w:rFonts w:ascii="Arial" w:hAnsi="Arial" w:cs="Arial"/>
                <w:sz w:val="20"/>
              </w:rPr>
              <w:t>Prioritise</w:t>
            </w:r>
            <w:proofErr w:type="spellEnd"/>
            <w:r w:rsidRPr="002524E3">
              <w:rPr>
                <w:rFonts w:ascii="Arial" w:hAnsi="Arial" w:cs="Arial"/>
                <w:sz w:val="20"/>
              </w:rPr>
              <w:t xml:space="preserve"> a range of complex tasks for self and wider team, taking account of diverse and conflicting </w:t>
            </w:r>
            <w:proofErr w:type="spellStart"/>
            <w:r w:rsidRPr="002524E3">
              <w:rPr>
                <w:rFonts w:ascii="Arial" w:hAnsi="Arial" w:cs="Arial"/>
                <w:sz w:val="20"/>
              </w:rPr>
              <w:t>organisational</w:t>
            </w:r>
            <w:proofErr w:type="spellEnd"/>
            <w:r w:rsidRPr="002524E3">
              <w:rPr>
                <w:rFonts w:ascii="Arial" w:hAnsi="Arial" w:cs="Arial"/>
                <w:sz w:val="20"/>
              </w:rPr>
              <w:t xml:space="preserve"> needs; delegate effectively.</w:t>
            </w:r>
          </w:p>
        </w:tc>
        <w:tc>
          <w:tcPr>
            <w:tcW w:w="1559" w:type="dxa"/>
          </w:tcPr>
          <w:p w:rsidR="002524E3" w:rsidRPr="00190B93" w:rsidRDefault="002524E3" w:rsidP="002524E3">
            <w:pPr>
              <w:pStyle w:val="Heading1"/>
              <w:rPr>
                <w:i/>
              </w:rPr>
            </w:pPr>
          </w:p>
        </w:tc>
        <w:tc>
          <w:tcPr>
            <w:tcW w:w="1559" w:type="dxa"/>
          </w:tcPr>
          <w:p w:rsidR="002524E3" w:rsidRPr="00190B93" w:rsidRDefault="002524E3" w:rsidP="002524E3">
            <w:pPr>
              <w:pStyle w:val="Heading1"/>
              <w:rPr>
                <w:i/>
              </w:rPr>
            </w:pPr>
          </w:p>
        </w:tc>
        <w:tc>
          <w:tcPr>
            <w:tcW w:w="1560" w:type="dxa"/>
          </w:tcPr>
          <w:p w:rsidR="002524E3" w:rsidRPr="00190B93" w:rsidRDefault="002524E3" w:rsidP="002524E3">
            <w:pPr>
              <w:pStyle w:val="Heading1"/>
              <w:rPr>
                <w:i/>
              </w:rPr>
            </w:pPr>
          </w:p>
        </w:tc>
        <w:tc>
          <w:tcPr>
            <w:tcW w:w="3250" w:type="dxa"/>
          </w:tcPr>
          <w:p w:rsidR="002524E3" w:rsidRPr="00190B93" w:rsidRDefault="002524E3" w:rsidP="002524E3">
            <w:pPr>
              <w:pStyle w:val="Heading1"/>
              <w:rPr>
                <w:i/>
              </w:rPr>
            </w:pPr>
          </w:p>
        </w:tc>
      </w:tr>
      <w:tr w:rsidR="002524E3" w:rsidRPr="00190B93" w:rsidTr="002524E3">
        <w:trPr>
          <w:trHeight w:val="216"/>
        </w:trPr>
        <w:tc>
          <w:tcPr>
            <w:tcW w:w="2547" w:type="dxa"/>
            <w:vAlign w:val="bottom"/>
          </w:tcPr>
          <w:p w:rsidR="002524E3" w:rsidRPr="00471256" w:rsidRDefault="002524E3" w:rsidP="002524E3">
            <w:pPr>
              <w:pStyle w:val="TableParagraph"/>
              <w:ind w:right="-11"/>
              <w:rPr>
                <w:rFonts w:ascii="Arial" w:hAnsi="Arial" w:cs="Arial"/>
                <w:sz w:val="20"/>
              </w:rPr>
            </w:pPr>
            <w:r w:rsidRPr="00471256">
              <w:rPr>
                <w:rFonts w:ascii="Arial" w:hAnsi="Arial" w:cs="Arial"/>
                <w:sz w:val="20"/>
              </w:rPr>
              <w:t xml:space="preserve">Improving </w:t>
            </w:r>
            <w:proofErr w:type="spellStart"/>
            <w:r w:rsidRPr="00471256">
              <w:rPr>
                <w:rFonts w:ascii="Arial" w:hAnsi="Arial" w:cs="Arial"/>
                <w:sz w:val="20"/>
              </w:rPr>
              <w:t>organisational</w:t>
            </w:r>
            <w:proofErr w:type="spellEnd"/>
            <w:r w:rsidRPr="00471256">
              <w:rPr>
                <w:rFonts w:ascii="Arial" w:hAnsi="Arial" w:cs="Arial"/>
                <w:sz w:val="20"/>
              </w:rPr>
              <w:t xml:space="preserve"> systems</w:t>
            </w:r>
          </w:p>
        </w:tc>
        <w:tc>
          <w:tcPr>
            <w:tcW w:w="4536" w:type="dxa"/>
            <w:vAlign w:val="bottom"/>
          </w:tcPr>
          <w:p w:rsidR="002524E3" w:rsidRPr="002524E3" w:rsidRDefault="002524E3" w:rsidP="002524E3">
            <w:pPr>
              <w:pStyle w:val="TableParagraph"/>
              <w:ind w:right="110"/>
              <w:rPr>
                <w:rFonts w:ascii="Arial" w:hAnsi="Arial" w:cs="Arial"/>
                <w:sz w:val="20"/>
              </w:rPr>
            </w:pPr>
            <w:r w:rsidRPr="002524E3">
              <w:rPr>
                <w:rFonts w:ascii="Arial" w:hAnsi="Arial" w:cs="Arial"/>
                <w:sz w:val="20"/>
              </w:rPr>
              <w:t>Lead the strategic development and implementation of new structures and systems to ensure effective use of resources.</w:t>
            </w:r>
          </w:p>
        </w:tc>
        <w:tc>
          <w:tcPr>
            <w:tcW w:w="1559" w:type="dxa"/>
          </w:tcPr>
          <w:p w:rsidR="002524E3" w:rsidRPr="00190B93" w:rsidRDefault="002524E3" w:rsidP="002524E3">
            <w:pPr>
              <w:pStyle w:val="Heading1"/>
              <w:rPr>
                <w:i/>
              </w:rPr>
            </w:pPr>
          </w:p>
        </w:tc>
        <w:tc>
          <w:tcPr>
            <w:tcW w:w="1559" w:type="dxa"/>
          </w:tcPr>
          <w:p w:rsidR="002524E3" w:rsidRPr="00190B93" w:rsidRDefault="002524E3" w:rsidP="002524E3">
            <w:pPr>
              <w:pStyle w:val="Heading1"/>
              <w:rPr>
                <w:i/>
              </w:rPr>
            </w:pPr>
          </w:p>
        </w:tc>
        <w:tc>
          <w:tcPr>
            <w:tcW w:w="1560" w:type="dxa"/>
          </w:tcPr>
          <w:p w:rsidR="002524E3" w:rsidRPr="00190B93" w:rsidRDefault="002524E3" w:rsidP="002524E3">
            <w:pPr>
              <w:pStyle w:val="Heading1"/>
              <w:rPr>
                <w:i/>
              </w:rPr>
            </w:pPr>
          </w:p>
        </w:tc>
        <w:tc>
          <w:tcPr>
            <w:tcW w:w="3250" w:type="dxa"/>
          </w:tcPr>
          <w:p w:rsidR="002524E3" w:rsidRPr="00190B93" w:rsidRDefault="002524E3" w:rsidP="002524E3">
            <w:pPr>
              <w:pStyle w:val="Heading1"/>
              <w:rPr>
                <w:i/>
              </w:rPr>
            </w:pPr>
          </w:p>
        </w:tc>
      </w:tr>
    </w:tbl>
    <w:p w:rsidR="00D368C6" w:rsidRDefault="00D368C6" w:rsidP="007E3EFB">
      <w:pPr>
        <w:pStyle w:val="Heading1"/>
      </w:pPr>
      <w:r w:rsidRPr="00D368C6">
        <w:t>Project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D368C6" w:rsidTr="003E478A">
        <w:trPr>
          <w:tblHeader/>
        </w:trPr>
        <w:tc>
          <w:tcPr>
            <w:tcW w:w="2547"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D368C6" w:rsidRDefault="00D368C6"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D368C6" w:rsidRDefault="00D368C6"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D368C6" w:rsidRPr="00D36C17" w:rsidRDefault="00D368C6"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D368C6" w:rsidRDefault="00D368C6" w:rsidP="003E478A">
            <w:pPr>
              <w:pStyle w:val="TableParagraph"/>
              <w:spacing w:line="183" w:lineRule="exact"/>
              <w:ind w:left="103"/>
              <w:jc w:val="center"/>
              <w:rPr>
                <w:rFonts w:ascii="Arial" w:hAnsi="Arial" w:cs="Arial"/>
                <w:b/>
                <w:sz w:val="20"/>
              </w:rPr>
            </w:pPr>
            <w:r>
              <w:rPr>
                <w:rFonts w:ascii="Arial" w:hAnsi="Arial" w:cs="Arial"/>
                <w:b/>
                <w:sz w:val="20"/>
              </w:rPr>
              <w:t>Manager</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D368C6" w:rsidRPr="00D36C17" w:rsidRDefault="00D368C6"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D368C6" w:rsidRDefault="00D368C6" w:rsidP="003E478A">
            <w:pPr>
              <w:pStyle w:val="TableParagraph"/>
              <w:spacing w:line="183" w:lineRule="exact"/>
              <w:jc w:val="center"/>
              <w:rPr>
                <w:rFonts w:ascii="Arial" w:hAnsi="Arial" w:cs="Arial"/>
                <w:b/>
                <w:sz w:val="20"/>
              </w:rPr>
            </w:pPr>
            <w:r>
              <w:rPr>
                <w:rFonts w:ascii="Arial" w:hAnsi="Arial" w:cs="Arial"/>
                <w:b/>
                <w:sz w:val="20"/>
              </w:rPr>
              <w:t>Agreed result</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D368C6" w:rsidRDefault="00D368C6" w:rsidP="003E478A">
            <w:pPr>
              <w:pStyle w:val="TableParagraph"/>
              <w:ind w:left="102"/>
              <w:jc w:val="center"/>
              <w:rPr>
                <w:rFonts w:ascii="Arial" w:hAnsi="Arial" w:cs="Arial"/>
                <w:b/>
                <w:sz w:val="20"/>
              </w:rPr>
            </w:pPr>
            <w:r w:rsidRPr="00D36C17">
              <w:rPr>
                <w:rFonts w:ascii="Arial" w:hAnsi="Arial" w:cs="Arial"/>
                <w:b/>
                <w:sz w:val="20"/>
              </w:rPr>
              <w:t>4</w:t>
            </w:r>
          </w:p>
          <w:p w:rsidR="00D368C6" w:rsidRPr="00D36C17" w:rsidRDefault="00D368C6"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368C6" w:rsidRPr="00190B93" w:rsidTr="007E3EFB">
        <w:tc>
          <w:tcPr>
            <w:tcW w:w="2547" w:type="dxa"/>
          </w:tcPr>
          <w:p w:rsidR="00D368C6" w:rsidRPr="00D368C6" w:rsidRDefault="00D368C6" w:rsidP="00D368C6">
            <w:pPr>
              <w:pStyle w:val="TableParagraph"/>
              <w:rPr>
                <w:rFonts w:ascii="Arial" w:hAnsi="Arial" w:cs="Arial"/>
                <w:sz w:val="20"/>
              </w:rPr>
            </w:pPr>
            <w:r w:rsidRPr="00D368C6">
              <w:rPr>
                <w:rFonts w:ascii="Arial" w:hAnsi="Arial" w:cs="Arial"/>
                <w:sz w:val="20"/>
              </w:rPr>
              <w:t>Project leadership</w:t>
            </w:r>
          </w:p>
        </w:tc>
        <w:tc>
          <w:tcPr>
            <w:tcW w:w="4536" w:type="dxa"/>
            <w:vAlign w:val="bottom"/>
          </w:tcPr>
          <w:p w:rsidR="00D368C6" w:rsidRPr="00D368C6" w:rsidRDefault="002524E3" w:rsidP="00D36B17">
            <w:pPr>
              <w:pStyle w:val="TableParagraph"/>
              <w:ind w:right="110"/>
              <w:rPr>
                <w:rFonts w:ascii="Arial" w:hAnsi="Arial" w:cs="Arial"/>
                <w:sz w:val="20"/>
              </w:rPr>
            </w:pPr>
            <w:r w:rsidRPr="002524E3">
              <w:rPr>
                <w:rFonts w:ascii="Arial" w:hAnsi="Arial" w:cs="Arial"/>
                <w:sz w:val="20"/>
              </w:rPr>
              <w:t>Identify, lead and oversee large-scale projects, which require significant staff and budget and have a wide impact.</w:t>
            </w:r>
          </w:p>
        </w:tc>
        <w:tc>
          <w:tcPr>
            <w:tcW w:w="1559" w:type="dxa"/>
          </w:tcPr>
          <w:p w:rsidR="00D368C6" w:rsidRPr="00190B93" w:rsidRDefault="00D368C6" w:rsidP="00D368C6">
            <w:pPr>
              <w:pStyle w:val="Heading1"/>
              <w:rPr>
                <w:i/>
              </w:rPr>
            </w:pPr>
          </w:p>
        </w:tc>
        <w:tc>
          <w:tcPr>
            <w:tcW w:w="1559" w:type="dxa"/>
          </w:tcPr>
          <w:p w:rsidR="00D368C6" w:rsidRPr="00190B93" w:rsidRDefault="00D368C6" w:rsidP="00D368C6">
            <w:pPr>
              <w:pStyle w:val="Heading1"/>
              <w:rPr>
                <w:i/>
              </w:rPr>
            </w:pPr>
          </w:p>
        </w:tc>
        <w:tc>
          <w:tcPr>
            <w:tcW w:w="1560" w:type="dxa"/>
          </w:tcPr>
          <w:p w:rsidR="00D368C6" w:rsidRPr="00190B93" w:rsidRDefault="00D368C6" w:rsidP="00D368C6">
            <w:pPr>
              <w:pStyle w:val="Heading1"/>
              <w:rPr>
                <w:i/>
              </w:rPr>
            </w:pPr>
          </w:p>
        </w:tc>
        <w:tc>
          <w:tcPr>
            <w:tcW w:w="3250" w:type="dxa"/>
          </w:tcPr>
          <w:p w:rsidR="00D368C6" w:rsidRPr="00190B93" w:rsidRDefault="00D368C6" w:rsidP="00D368C6">
            <w:pPr>
              <w:pStyle w:val="Heading1"/>
              <w:rPr>
                <w:i/>
              </w:rPr>
            </w:pPr>
          </w:p>
        </w:tc>
      </w:tr>
    </w:tbl>
    <w:p w:rsidR="003B5248" w:rsidRDefault="003B5248" w:rsidP="005A1E98">
      <w:pPr>
        <w:pStyle w:val="Heading2"/>
        <w:spacing w:before="240"/>
      </w:pPr>
      <w:r>
        <w:t>Specialist Skills (Applicable to Some Staff Only)</w:t>
      </w:r>
    </w:p>
    <w:p w:rsidR="003B5248" w:rsidRDefault="003B5248" w:rsidP="003B5248">
      <w:pPr>
        <w:pStyle w:val="Heading1"/>
      </w:pPr>
      <w:r w:rsidRPr="003B5248">
        <w:t>Equality &amp; Diversity</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B477CE" w:rsidRPr="00190B93" w:rsidTr="00B477CE">
        <w:tc>
          <w:tcPr>
            <w:tcW w:w="2547" w:type="dxa"/>
          </w:tcPr>
          <w:p w:rsidR="00B477CE" w:rsidRPr="0023106F" w:rsidRDefault="00B477CE" w:rsidP="00B477CE">
            <w:pPr>
              <w:pStyle w:val="TableParagraph"/>
              <w:rPr>
                <w:rFonts w:ascii="Arial" w:hAnsi="Arial" w:cs="Arial"/>
                <w:sz w:val="20"/>
              </w:rPr>
            </w:pPr>
            <w:r w:rsidRPr="0023106F">
              <w:rPr>
                <w:rFonts w:ascii="Arial" w:hAnsi="Arial" w:cs="Arial"/>
                <w:sz w:val="20"/>
              </w:rPr>
              <w:t>Policy and development</w:t>
            </w:r>
          </w:p>
        </w:tc>
        <w:tc>
          <w:tcPr>
            <w:tcW w:w="4536" w:type="dxa"/>
            <w:vAlign w:val="bottom"/>
          </w:tcPr>
          <w:p w:rsidR="00B477CE" w:rsidRPr="00B477CE" w:rsidRDefault="00B477CE" w:rsidP="00B477CE">
            <w:pPr>
              <w:pStyle w:val="TableParagraph"/>
              <w:ind w:right="110"/>
              <w:rPr>
                <w:rFonts w:ascii="Arial" w:hAnsi="Arial" w:cs="Arial"/>
                <w:sz w:val="20"/>
              </w:rPr>
            </w:pPr>
            <w:r w:rsidRPr="00B477CE">
              <w:rPr>
                <w:rFonts w:ascii="Arial" w:hAnsi="Arial" w:cs="Arial"/>
                <w:sz w:val="20"/>
              </w:rPr>
              <w:t xml:space="preserve">Oversee and implement University-wide mechanisms through direct collaboration with University business planning procedures in order to </w:t>
            </w:r>
            <w:r>
              <w:rPr>
                <w:rFonts w:ascii="Arial" w:hAnsi="Arial" w:cs="Arial"/>
                <w:sz w:val="20"/>
              </w:rPr>
              <w:t xml:space="preserve">integrate and progress equality </w:t>
            </w:r>
            <w:proofErr w:type="spellStart"/>
            <w:r w:rsidRPr="00B477CE">
              <w:rPr>
                <w:rFonts w:ascii="Arial" w:hAnsi="Arial" w:cs="Arial"/>
                <w:sz w:val="20"/>
              </w:rPr>
              <w:t>bjectives</w:t>
            </w:r>
            <w:proofErr w:type="spellEnd"/>
            <w:r w:rsidRPr="00B477CE">
              <w:rPr>
                <w:rFonts w:ascii="Arial" w:hAnsi="Arial" w:cs="Arial"/>
                <w:sz w:val="20"/>
              </w:rPr>
              <w:t xml:space="preserve"> and processes throughout the </w:t>
            </w:r>
            <w:proofErr w:type="spellStart"/>
            <w:r w:rsidRPr="00B477CE">
              <w:rPr>
                <w:rFonts w:ascii="Arial" w:hAnsi="Arial" w:cs="Arial"/>
                <w:sz w:val="20"/>
              </w:rPr>
              <w:t>organisation</w:t>
            </w:r>
            <w:proofErr w:type="spellEnd"/>
            <w:r w:rsidRPr="00B477CE">
              <w:rPr>
                <w:rFonts w:ascii="Arial" w:hAnsi="Arial" w:cs="Arial"/>
                <w:sz w:val="20"/>
              </w:rPr>
              <w:t>.</w:t>
            </w:r>
            <w:bookmarkStart w:id="0" w:name="_GoBack"/>
            <w:bookmarkEnd w:id="0"/>
          </w:p>
        </w:tc>
        <w:tc>
          <w:tcPr>
            <w:tcW w:w="1559" w:type="dxa"/>
          </w:tcPr>
          <w:p w:rsidR="00B477CE" w:rsidRPr="00190B93" w:rsidRDefault="00B477CE" w:rsidP="00B477CE">
            <w:pPr>
              <w:pStyle w:val="Heading1"/>
              <w:rPr>
                <w:i/>
              </w:rPr>
            </w:pPr>
          </w:p>
        </w:tc>
        <w:tc>
          <w:tcPr>
            <w:tcW w:w="1559" w:type="dxa"/>
          </w:tcPr>
          <w:p w:rsidR="00B477CE" w:rsidRPr="00190B93" w:rsidRDefault="00B477CE" w:rsidP="00B477CE">
            <w:pPr>
              <w:pStyle w:val="Heading1"/>
              <w:rPr>
                <w:i/>
              </w:rPr>
            </w:pPr>
          </w:p>
        </w:tc>
        <w:tc>
          <w:tcPr>
            <w:tcW w:w="1560" w:type="dxa"/>
          </w:tcPr>
          <w:p w:rsidR="00B477CE" w:rsidRPr="00190B93" w:rsidRDefault="00B477CE" w:rsidP="00B477CE">
            <w:pPr>
              <w:pStyle w:val="Heading1"/>
              <w:rPr>
                <w:i/>
              </w:rPr>
            </w:pPr>
          </w:p>
        </w:tc>
        <w:tc>
          <w:tcPr>
            <w:tcW w:w="3250" w:type="dxa"/>
          </w:tcPr>
          <w:p w:rsidR="00B477CE" w:rsidRPr="00190B93" w:rsidRDefault="00B477CE" w:rsidP="00B477CE">
            <w:pPr>
              <w:pStyle w:val="Heading1"/>
              <w:rPr>
                <w:i/>
              </w:rPr>
            </w:pPr>
          </w:p>
        </w:tc>
      </w:tr>
      <w:tr w:rsidR="00B477CE" w:rsidRPr="00190B93" w:rsidTr="00B477CE">
        <w:tc>
          <w:tcPr>
            <w:tcW w:w="2547" w:type="dxa"/>
          </w:tcPr>
          <w:p w:rsidR="00B477CE" w:rsidRPr="0023106F" w:rsidRDefault="00B477CE" w:rsidP="00B477CE">
            <w:pPr>
              <w:pStyle w:val="TableParagraph"/>
              <w:rPr>
                <w:rFonts w:ascii="Arial" w:hAnsi="Arial" w:cs="Arial"/>
                <w:sz w:val="20"/>
              </w:rPr>
            </w:pPr>
            <w:r w:rsidRPr="0023106F">
              <w:rPr>
                <w:rFonts w:ascii="Arial" w:hAnsi="Arial" w:cs="Arial"/>
                <w:sz w:val="20"/>
              </w:rPr>
              <w:t>Engagement with audience</w:t>
            </w:r>
          </w:p>
        </w:tc>
        <w:tc>
          <w:tcPr>
            <w:tcW w:w="4536" w:type="dxa"/>
            <w:vAlign w:val="bottom"/>
          </w:tcPr>
          <w:p w:rsidR="00B477CE" w:rsidRPr="00B477CE" w:rsidRDefault="00B477CE" w:rsidP="00B477CE">
            <w:pPr>
              <w:pStyle w:val="TableParagraph"/>
              <w:ind w:right="110"/>
              <w:rPr>
                <w:rFonts w:ascii="Arial" w:hAnsi="Arial" w:cs="Arial"/>
                <w:sz w:val="20"/>
              </w:rPr>
            </w:pPr>
            <w:r w:rsidRPr="00B477CE">
              <w:rPr>
                <w:rFonts w:ascii="Arial" w:hAnsi="Arial" w:cs="Arial"/>
                <w:sz w:val="20"/>
              </w:rPr>
              <w:t xml:space="preserve">Work collaboratively with other University divisions as part of the </w:t>
            </w:r>
            <w:proofErr w:type="spellStart"/>
            <w:r w:rsidRPr="00B477CE">
              <w:rPr>
                <w:rFonts w:ascii="Arial" w:hAnsi="Arial" w:cs="Arial"/>
                <w:sz w:val="20"/>
              </w:rPr>
              <w:t>organisation’s</w:t>
            </w:r>
            <w:proofErr w:type="spellEnd"/>
            <w:r w:rsidRPr="00B477CE">
              <w:rPr>
                <w:rFonts w:ascii="Arial" w:hAnsi="Arial" w:cs="Arial"/>
                <w:sz w:val="20"/>
              </w:rPr>
              <w:t xml:space="preserve"> core business processes.</w:t>
            </w:r>
          </w:p>
        </w:tc>
        <w:tc>
          <w:tcPr>
            <w:tcW w:w="1559" w:type="dxa"/>
          </w:tcPr>
          <w:p w:rsidR="00B477CE" w:rsidRPr="00190B93" w:rsidRDefault="00B477CE" w:rsidP="00B477CE">
            <w:pPr>
              <w:pStyle w:val="Heading1"/>
              <w:rPr>
                <w:i/>
              </w:rPr>
            </w:pPr>
          </w:p>
        </w:tc>
        <w:tc>
          <w:tcPr>
            <w:tcW w:w="1559" w:type="dxa"/>
          </w:tcPr>
          <w:p w:rsidR="00B477CE" w:rsidRPr="00190B93" w:rsidRDefault="00B477CE" w:rsidP="00B477CE">
            <w:pPr>
              <w:pStyle w:val="Heading1"/>
              <w:rPr>
                <w:i/>
              </w:rPr>
            </w:pPr>
          </w:p>
        </w:tc>
        <w:tc>
          <w:tcPr>
            <w:tcW w:w="1560" w:type="dxa"/>
          </w:tcPr>
          <w:p w:rsidR="00B477CE" w:rsidRPr="00190B93" w:rsidRDefault="00B477CE" w:rsidP="00B477CE">
            <w:pPr>
              <w:pStyle w:val="Heading1"/>
              <w:rPr>
                <w:i/>
              </w:rPr>
            </w:pPr>
          </w:p>
        </w:tc>
        <w:tc>
          <w:tcPr>
            <w:tcW w:w="3250" w:type="dxa"/>
          </w:tcPr>
          <w:p w:rsidR="00B477CE" w:rsidRPr="00190B93" w:rsidRDefault="00B477CE" w:rsidP="00B477CE">
            <w:pPr>
              <w:pStyle w:val="Heading1"/>
              <w:rPr>
                <w:i/>
              </w:rPr>
            </w:pPr>
          </w:p>
        </w:tc>
      </w:tr>
    </w:tbl>
    <w:p w:rsidR="005318C6" w:rsidRDefault="005318C6" w:rsidP="00890B37">
      <w:pPr>
        <w:pStyle w:val="Heading1"/>
        <w:spacing w:before="1080"/>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B477CE">
              <w:rPr>
                <w:rFonts w:ascii="Arial" w:hAnsi="Arial" w:cs="Arial"/>
                <w:b/>
                <w:bCs/>
                <w:noProof/>
                <w:sz w:val="18"/>
              </w:rPr>
              <w:t>6</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B477CE">
              <w:rPr>
                <w:rFonts w:ascii="Arial" w:hAnsi="Arial" w:cs="Arial"/>
                <w:b/>
                <w:bCs/>
                <w:noProof/>
                <w:sz w:val="18"/>
              </w:rPr>
              <w:t>6</w:t>
            </w:r>
            <w:r w:rsidRPr="003A4903">
              <w:rPr>
                <w:rFonts w:ascii="Arial" w:hAnsi="Arial" w:cs="Arial"/>
                <w:b/>
                <w:bCs/>
                <w:sz w:val="18"/>
              </w:rPr>
              <w:fldChar w:fldCharType="end"/>
            </w:r>
          </w:p>
          <w:p w:rsidR="003A4903" w:rsidRPr="003A4903" w:rsidRDefault="00A90585">
            <w:pPr>
              <w:pStyle w:val="Footer"/>
              <w:jc w:val="right"/>
            </w:pPr>
            <w:r>
              <w:rPr>
                <w:rFonts w:ascii="Arial" w:hAnsi="Arial" w:cs="Arial"/>
                <w:b/>
                <w:bCs/>
                <w:sz w:val="18"/>
              </w:rPr>
              <w:t>HR</w:t>
            </w:r>
            <w:r w:rsidR="008571D9">
              <w:rPr>
                <w:rFonts w:ascii="Arial" w:hAnsi="Arial" w:cs="Arial"/>
                <w:b/>
                <w:bCs/>
                <w:sz w:val="18"/>
              </w:rPr>
              <w:t>11</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A1D"/>
    <w:rsid w:val="000133E8"/>
    <w:rsid w:val="000229FD"/>
    <w:rsid w:val="00024328"/>
    <w:rsid w:val="000309CF"/>
    <w:rsid w:val="0006444E"/>
    <w:rsid w:val="00071988"/>
    <w:rsid w:val="00072E7D"/>
    <w:rsid w:val="00076FD5"/>
    <w:rsid w:val="00092014"/>
    <w:rsid w:val="000A5C41"/>
    <w:rsid w:val="000B4A17"/>
    <w:rsid w:val="000C353B"/>
    <w:rsid w:val="000C4D20"/>
    <w:rsid w:val="000C7486"/>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95A0F"/>
    <w:rsid w:val="001B5E7C"/>
    <w:rsid w:val="001F6C60"/>
    <w:rsid w:val="00200D26"/>
    <w:rsid w:val="00205CFB"/>
    <w:rsid w:val="002131A8"/>
    <w:rsid w:val="002154C9"/>
    <w:rsid w:val="0022412C"/>
    <w:rsid w:val="0023106F"/>
    <w:rsid w:val="002524E3"/>
    <w:rsid w:val="00274BE8"/>
    <w:rsid w:val="0029158E"/>
    <w:rsid w:val="002A2AD4"/>
    <w:rsid w:val="002F44B6"/>
    <w:rsid w:val="003212A6"/>
    <w:rsid w:val="00322CA3"/>
    <w:rsid w:val="003532C2"/>
    <w:rsid w:val="003552B8"/>
    <w:rsid w:val="00385995"/>
    <w:rsid w:val="00390201"/>
    <w:rsid w:val="003A4903"/>
    <w:rsid w:val="003B5248"/>
    <w:rsid w:val="003C5541"/>
    <w:rsid w:val="003D3326"/>
    <w:rsid w:val="003D6D84"/>
    <w:rsid w:val="003E5E37"/>
    <w:rsid w:val="00420777"/>
    <w:rsid w:val="00424790"/>
    <w:rsid w:val="004356C3"/>
    <w:rsid w:val="00437CA6"/>
    <w:rsid w:val="00445BA7"/>
    <w:rsid w:val="00471256"/>
    <w:rsid w:val="004772CC"/>
    <w:rsid w:val="00483363"/>
    <w:rsid w:val="004C1445"/>
    <w:rsid w:val="004D5470"/>
    <w:rsid w:val="004F719D"/>
    <w:rsid w:val="005318C6"/>
    <w:rsid w:val="00532121"/>
    <w:rsid w:val="00553DFD"/>
    <w:rsid w:val="0057243F"/>
    <w:rsid w:val="00580B6A"/>
    <w:rsid w:val="005A1E98"/>
    <w:rsid w:val="005B7921"/>
    <w:rsid w:val="0061083F"/>
    <w:rsid w:val="006109F9"/>
    <w:rsid w:val="00627987"/>
    <w:rsid w:val="00637FC9"/>
    <w:rsid w:val="006423B3"/>
    <w:rsid w:val="006635A3"/>
    <w:rsid w:val="006A7D37"/>
    <w:rsid w:val="006C1926"/>
    <w:rsid w:val="00702D91"/>
    <w:rsid w:val="0070643D"/>
    <w:rsid w:val="007224E2"/>
    <w:rsid w:val="007278FB"/>
    <w:rsid w:val="00733BA3"/>
    <w:rsid w:val="0073437D"/>
    <w:rsid w:val="00784AEB"/>
    <w:rsid w:val="007A23F9"/>
    <w:rsid w:val="007A3285"/>
    <w:rsid w:val="007C114F"/>
    <w:rsid w:val="007D2BD8"/>
    <w:rsid w:val="007E3EFB"/>
    <w:rsid w:val="007F1D70"/>
    <w:rsid w:val="0084737C"/>
    <w:rsid w:val="008571D9"/>
    <w:rsid w:val="00874A9F"/>
    <w:rsid w:val="00877A72"/>
    <w:rsid w:val="00882907"/>
    <w:rsid w:val="00884D6D"/>
    <w:rsid w:val="00890B37"/>
    <w:rsid w:val="008A24D0"/>
    <w:rsid w:val="008B1158"/>
    <w:rsid w:val="008B6610"/>
    <w:rsid w:val="008C6112"/>
    <w:rsid w:val="008E3DCE"/>
    <w:rsid w:val="008F0235"/>
    <w:rsid w:val="008F4301"/>
    <w:rsid w:val="00926DB1"/>
    <w:rsid w:val="009343D3"/>
    <w:rsid w:val="00961FB5"/>
    <w:rsid w:val="00994CE7"/>
    <w:rsid w:val="009B4047"/>
    <w:rsid w:val="009B4B4B"/>
    <w:rsid w:val="009B533D"/>
    <w:rsid w:val="009F76E3"/>
    <w:rsid w:val="00A32EE8"/>
    <w:rsid w:val="00A4141B"/>
    <w:rsid w:val="00A65CC2"/>
    <w:rsid w:val="00A80962"/>
    <w:rsid w:val="00A90585"/>
    <w:rsid w:val="00A9285B"/>
    <w:rsid w:val="00A95DB6"/>
    <w:rsid w:val="00AA2EE8"/>
    <w:rsid w:val="00AB540A"/>
    <w:rsid w:val="00AB79A8"/>
    <w:rsid w:val="00AB7BA1"/>
    <w:rsid w:val="00AC0449"/>
    <w:rsid w:val="00AE1FFA"/>
    <w:rsid w:val="00B445E7"/>
    <w:rsid w:val="00B477CE"/>
    <w:rsid w:val="00B60C5B"/>
    <w:rsid w:val="00B936B0"/>
    <w:rsid w:val="00B954C4"/>
    <w:rsid w:val="00BA6F21"/>
    <w:rsid w:val="00BC6772"/>
    <w:rsid w:val="00C363CC"/>
    <w:rsid w:val="00C46601"/>
    <w:rsid w:val="00C46C97"/>
    <w:rsid w:val="00CD6AA7"/>
    <w:rsid w:val="00CE5AA7"/>
    <w:rsid w:val="00CF31DC"/>
    <w:rsid w:val="00D04E41"/>
    <w:rsid w:val="00D12D7A"/>
    <w:rsid w:val="00D17F05"/>
    <w:rsid w:val="00D26675"/>
    <w:rsid w:val="00D368C6"/>
    <w:rsid w:val="00D36B17"/>
    <w:rsid w:val="00D36C17"/>
    <w:rsid w:val="00D5170A"/>
    <w:rsid w:val="00D91067"/>
    <w:rsid w:val="00DB095D"/>
    <w:rsid w:val="00DE2A52"/>
    <w:rsid w:val="00DF3BA0"/>
    <w:rsid w:val="00E04A75"/>
    <w:rsid w:val="00E05078"/>
    <w:rsid w:val="00E20AF1"/>
    <w:rsid w:val="00E248A2"/>
    <w:rsid w:val="00E27B1F"/>
    <w:rsid w:val="00E32A22"/>
    <w:rsid w:val="00E36299"/>
    <w:rsid w:val="00E36FE2"/>
    <w:rsid w:val="00E401A1"/>
    <w:rsid w:val="00E53B2F"/>
    <w:rsid w:val="00E608B2"/>
    <w:rsid w:val="00E6771D"/>
    <w:rsid w:val="00E91735"/>
    <w:rsid w:val="00E93EFD"/>
    <w:rsid w:val="00E946FF"/>
    <w:rsid w:val="00E9561B"/>
    <w:rsid w:val="00EA3133"/>
    <w:rsid w:val="00EB23E5"/>
    <w:rsid w:val="00EE409B"/>
    <w:rsid w:val="00EF3571"/>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546C"/>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09D87-0994-46D6-9CBE-577CB249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7</cp:revision>
  <cp:lastPrinted>2017-07-19T11:26:00Z</cp:lastPrinted>
  <dcterms:created xsi:type="dcterms:W3CDTF">2020-07-31T11:20:00Z</dcterms:created>
  <dcterms:modified xsi:type="dcterms:W3CDTF">2020-07-31T11:23:00Z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