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3308A">
        <w:t>8</w:t>
      </w:r>
      <w:r w:rsidR="003C5541">
        <w:t xml:space="preserve"> </w:t>
      </w:r>
      <w:r w:rsidR="00371DDE">
        <w:t>Library Staff</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1235C" w:rsidTr="0061235C">
        <w:tc>
          <w:tcPr>
            <w:tcW w:w="2547" w:type="dxa"/>
            <w:vAlign w:val="bottom"/>
          </w:tcPr>
          <w:p w:rsidR="0061235C" w:rsidRPr="0010347D" w:rsidRDefault="0061235C" w:rsidP="0061235C">
            <w:pPr>
              <w:pStyle w:val="TableParagraph"/>
              <w:spacing w:before="120"/>
              <w:ind w:right="-11"/>
              <w:rPr>
                <w:rFonts w:ascii="Arial" w:hAnsi="Arial" w:cs="Arial"/>
                <w:sz w:val="20"/>
              </w:rPr>
            </w:pPr>
            <w:r>
              <w:rPr>
                <w:rFonts w:ascii="Arial" w:hAnsi="Arial" w:cs="Arial"/>
                <w:sz w:val="20"/>
              </w:rPr>
              <w:t>IT</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Advanced use of Microsoft Office word processing, spreadsheet, database and email applications and web based databases</w:t>
            </w:r>
            <w:r>
              <w:rPr>
                <w:rFonts w:ascii="Arial" w:hAnsi="Arial" w:cs="Arial"/>
                <w:sz w:val="20"/>
              </w:rPr>
              <w:t>.</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Use of automated library administration systems and bibliographic electronic information resources.</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371DDE" w:rsidRDefault="0061235C" w:rsidP="0061235C">
            <w:pPr>
              <w:pStyle w:val="TableParagraph"/>
              <w:rPr>
                <w:rFonts w:ascii="Arial" w:hAnsi="Arial" w:cs="Arial"/>
                <w:sz w:val="20"/>
              </w:rPr>
            </w:pPr>
            <w:proofErr w:type="spellStart"/>
            <w:r w:rsidRPr="00371DDE">
              <w:rPr>
                <w:rFonts w:ascii="Arial" w:hAnsi="Arial" w:cs="Arial"/>
                <w:sz w:val="20"/>
              </w:rPr>
              <w:t>Organisational</w:t>
            </w:r>
            <w:proofErr w:type="spellEnd"/>
            <w:r w:rsidRPr="00371DDE">
              <w:rPr>
                <w:rFonts w:ascii="Arial" w:hAnsi="Arial" w:cs="Arial"/>
                <w:sz w:val="20"/>
              </w:rPr>
              <w:t>/ time management</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 xml:space="preserve">Work systematically on a number of tasks simultaneously whilst negotiating diverse and, at times, conflicting </w:t>
            </w:r>
            <w:proofErr w:type="spellStart"/>
            <w:r w:rsidRPr="0061235C">
              <w:rPr>
                <w:rFonts w:ascii="Arial" w:hAnsi="Arial" w:cs="Arial"/>
                <w:sz w:val="20"/>
              </w:rPr>
              <w:t>organisational</w:t>
            </w:r>
            <w:proofErr w:type="spellEnd"/>
            <w:r w:rsidRPr="0061235C">
              <w:rPr>
                <w:rFonts w:ascii="Arial" w:hAnsi="Arial" w:cs="Arial"/>
                <w:sz w:val="20"/>
              </w:rPr>
              <w:t xml:space="preserve"> needs within deadlines Manage practical aspects of the library’s operations and resources.</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Set standards, policies and strategies for the library service.</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371DDE" w:rsidRDefault="0061235C" w:rsidP="0061235C">
            <w:pPr>
              <w:pStyle w:val="TableParagraph"/>
              <w:rPr>
                <w:rFonts w:ascii="Arial" w:hAnsi="Arial" w:cs="Arial"/>
                <w:sz w:val="20"/>
              </w:rPr>
            </w:pPr>
            <w:r w:rsidRPr="00371DDE">
              <w:rPr>
                <w:rFonts w:ascii="Arial" w:hAnsi="Arial" w:cs="Arial"/>
                <w:sz w:val="20"/>
              </w:rPr>
              <w:t>Training/facilitation/ presentation</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Plan training that embraces blended learning approaches and different teaching styles</w:t>
            </w:r>
            <w:r>
              <w:rPr>
                <w:rFonts w:ascii="Arial" w:hAnsi="Arial" w:cs="Arial"/>
                <w:sz w:val="20"/>
              </w:rPr>
              <w:t>.</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 xml:space="preserve">Provide </w:t>
            </w:r>
            <w:proofErr w:type="spellStart"/>
            <w:r w:rsidRPr="0061235C">
              <w:rPr>
                <w:rFonts w:ascii="Arial" w:hAnsi="Arial" w:cs="Arial"/>
                <w:sz w:val="20"/>
              </w:rPr>
              <w:t>specialised</w:t>
            </w:r>
            <w:proofErr w:type="spellEnd"/>
            <w:r w:rsidRPr="0061235C">
              <w:rPr>
                <w:rFonts w:ascii="Arial" w:hAnsi="Arial" w:cs="Arial"/>
                <w:sz w:val="20"/>
              </w:rPr>
              <w:t xml:space="preserve"> training sessions on library systems, bibliographic databases and other topics.</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Deliver lectures/presentations</w:t>
            </w:r>
            <w:r>
              <w:rPr>
                <w:rFonts w:ascii="Arial" w:hAnsi="Arial" w:cs="Arial"/>
                <w:sz w:val="20"/>
              </w:rPr>
              <w:t>.</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B56092" w:rsidRDefault="0061235C" w:rsidP="0061235C">
            <w:pPr>
              <w:pStyle w:val="TableParagraph"/>
              <w:spacing w:before="120"/>
              <w:ind w:right="-11"/>
              <w:rPr>
                <w:rFonts w:ascii="Arial" w:hAnsi="Arial" w:cs="Arial"/>
                <w:sz w:val="20"/>
              </w:rPr>
            </w:pPr>
            <w:r w:rsidRPr="00B56092">
              <w:rPr>
                <w:rFonts w:ascii="Arial" w:hAnsi="Arial" w:cs="Arial"/>
                <w:sz w:val="20"/>
              </w:rPr>
              <w:t>Analytical</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Strong analytical and investigative skills in relation to responding to user enquiries and solving library management problems</w:t>
            </w:r>
            <w:r>
              <w:rPr>
                <w:rFonts w:ascii="Arial" w:hAnsi="Arial" w:cs="Arial"/>
                <w:sz w:val="20"/>
              </w:rPr>
              <w:t>.</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 xml:space="preserve">Create and </w:t>
            </w:r>
            <w:proofErr w:type="spellStart"/>
            <w:r w:rsidRPr="0061235C">
              <w:rPr>
                <w:rFonts w:ascii="Arial" w:hAnsi="Arial" w:cs="Arial"/>
                <w:sz w:val="20"/>
              </w:rPr>
              <w:t>analyse</w:t>
            </w:r>
            <w:proofErr w:type="spellEnd"/>
            <w:r w:rsidRPr="0061235C">
              <w:rPr>
                <w:rFonts w:ascii="Arial" w:hAnsi="Arial" w:cs="Arial"/>
                <w:sz w:val="20"/>
              </w:rPr>
              <w:t xml:space="preserve"> surveys</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B56092" w:rsidRDefault="0061235C" w:rsidP="0061235C">
            <w:pPr>
              <w:pStyle w:val="TableParagraph"/>
              <w:spacing w:before="120"/>
              <w:ind w:right="-11"/>
              <w:rPr>
                <w:rFonts w:ascii="Arial" w:hAnsi="Arial" w:cs="Arial"/>
                <w:sz w:val="20"/>
              </w:rPr>
            </w:pPr>
            <w:r w:rsidRPr="00B56092">
              <w:rPr>
                <w:rFonts w:ascii="Arial" w:hAnsi="Arial" w:cs="Arial"/>
                <w:sz w:val="20"/>
              </w:rPr>
              <w:t>Project Management</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Identify and lead projects/exhibitions, which may be with external partners. Fundraise/source external funds for projects</w:t>
            </w:r>
            <w:r>
              <w:rPr>
                <w:rFonts w:ascii="Arial" w:hAnsi="Arial" w:cs="Arial"/>
                <w:sz w:val="20"/>
              </w:rPr>
              <w:t>.</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F579FE" w:rsidRDefault="0061235C" w:rsidP="0061235C">
            <w:pPr>
              <w:pStyle w:val="TableParagraph"/>
              <w:rPr>
                <w:rFonts w:ascii="Arial" w:hAnsi="Arial" w:cs="Arial"/>
                <w:sz w:val="20"/>
              </w:rPr>
            </w:pPr>
            <w:r w:rsidRPr="00F579FE">
              <w:rPr>
                <w:rFonts w:ascii="Arial" w:hAnsi="Arial" w:cs="Arial"/>
                <w:sz w:val="20"/>
              </w:rPr>
              <w:t>Budgeting/finance</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Financial/resource management Forecast resource/financial needs.</w:t>
            </w:r>
          </w:p>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Write business cases for additional funding and resources</w:t>
            </w:r>
            <w:r>
              <w:rPr>
                <w:rFonts w:ascii="Arial" w:hAnsi="Arial" w:cs="Arial"/>
                <w:sz w:val="20"/>
              </w:rPr>
              <w:t>.</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F579FE" w:rsidRDefault="0061235C" w:rsidP="0061235C">
            <w:pPr>
              <w:pStyle w:val="TableParagraph"/>
              <w:rPr>
                <w:rFonts w:ascii="Arial" w:hAnsi="Arial" w:cs="Arial"/>
                <w:sz w:val="20"/>
              </w:rPr>
            </w:pPr>
            <w:r w:rsidRPr="00F579FE">
              <w:rPr>
                <w:rFonts w:ascii="Arial" w:hAnsi="Arial" w:cs="Arial"/>
                <w:sz w:val="20"/>
              </w:rPr>
              <w:t>Research</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 xml:space="preserve">Pro-actively develop the library collections in response to the needs of the </w:t>
            </w:r>
            <w:proofErr w:type="spellStart"/>
            <w:r w:rsidRPr="0061235C">
              <w:rPr>
                <w:rFonts w:ascii="Arial" w:hAnsi="Arial" w:cs="Arial"/>
                <w:sz w:val="20"/>
              </w:rPr>
              <w:t>organisation</w:t>
            </w:r>
            <w:proofErr w:type="spellEnd"/>
            <w:r w:rsidRPr="0061235C">
              <w:rPr>
                <w:rFonts w:ascii="Arial" w:hAnsi="Arial" w:cs="Arial"/>
                <w:sz w:val="20"/>
              </w:rPr>
              <w:t xml:space="preserve"> </w:t>
            </w:r>
            <w:proofErr w:type="spellStart"/>
            <w:r w:rsidRPr="0061235C">
              <w:rPr>
                <w:rFonts w:ascii="Arial" w:hAnsi="Arial" w:cs="Arial"/>
                <w:sz w:val="20"/>
              </w:rPr>
              <w:t>eg</w:t>
            </w:r>
            <w:proofErr w:type="spellEnd"/>
            <w:r w:rsidRPr="0061235C">
              <w:rPr>
                <w:rFonts w:ascii="Arial" w:hAnsi="Arial" w:cs="Arial"/>
                <w:sz w:val="20"/>
              </w:rPr>
              <w:t xml:space="preserve"> negotiating database deals</w:t>
            </w:r>
            <w:r>
              <w:rPr>
                <w:rFonts w:ascii="Arial" w:hAnsi="Arial" w:cs="Arial"/>
                <w:sz w:val="20"/>
              </w:rPr>
              <w:t>.</w:t>
            </w:r>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r w:rsidR="0061235C" w:rsidTr="0061235C">
        <w:tc>
          <w:tcPr>
            <w:tcW w:w="2547" w:type="dxa"/>
            <w:vAlign w:val="bottom"/>
          </w:tcPr>
          <w:p w:rsidR="0061235C" w:rsidRPr="00F579FE" w:rsidRDefault="0061235C" w:rsidP="0061235C">
            <w:pPr>
              <w:pStyle w:val="TableParagraph"/>
              <w:rPr>
                <w:rFonts w:ascii="Arial" w:hAnsi="Arial" w:cs="Arial"/>
                <w:sz w:val="20"/>
              </w:rPr>
            </w:pPr>
            <w:r w:rsidRPr="00F579FE">
              <w:rPr>
                <w:rFonts w:ascii="Arial" w:hAnsi="Arial" w:cs="Arial"/>
                <w:sz w:val="20"/>
              </w:rPr>
              <w:t>Other requirements</w:t>
            </w:r>
          </w:p>
        </w:tc>
        <w:tc>
          <w:tcPr>
            <w:tcW w:w="4536" w:type="dxa"/>
            <w:vAlign w:val="bottom"/>
          </w:tcPr>
          <w:p w:rsidR="0061235C" w:rsidRPr="0061235C" w:rsidRDefault="0061235C" w:rsidP="0061235C">
            <w:pPr>
              <w:pStyle w:val="TableParagraph"/>
              <w:spacing w:before="120"/>
              <w:ind w:right="-11"/>
              <w:rPr>
                <w:rFonts w:ascii="Arial" w:hAnsi="Arial" w:cs="Arial"/>
                <w:sz w:val="20"/>
              </w:rPr>
            </w:pPr>
            <w:r w:rsidRPr="0061235C">
              <w:rPr>
                <w:rFonts w:ascii="Arial" w:hAnsi="Arial" w:cs="Arial"/>
                <w:sz w:val="20"/>
              </w:rPr>
              <w:t>Excellent customer service skills Chartered Librarian status.</w:t>
            </w:r>
          </w:p>
          <w:p w:rsidR="0061235C" w:rsidRPr="0061235C" w:rsidRDefault="0061235C" w:rsidP="0061235C">
            <w:pPr>
              <w:pStyle w:val="TableParagraph"/>
              <w:spacing w:before="120" w:line="244" w:lineRule="exact"/>
              <w:ind w:right="-11"/>
              <w:rPr>
                <w:rFonts w:ascii="Arial" w:hAnsi="Arial" w:cs="Arial"/>
                <w:sz w:val="20"/>
              </w:rPr>
            </w:pPr>
            <w:r w:rsidRPr="0061235C">
              <w:rPr>
                <w:rFonts w:ascii="Arial" w:hAnsi="Arial" w:cs="Arial"/>
                <w:sz w:val="20"/>
              </w:rPr>
              <w:t xml:space="preserve">Substantial experience of managing a library, preferably in a HE establishment. Knowledge of the </w:t>
            </w:r>
            <w:proofErr w:type="spellStart"/>
            <w:r w:rsidRPr="0061235C">
              <w:rPr>
                <w:rFonts w:ascii="Arial" w:hAnsi="Arial" w:cs="Arial"/>
                <w:sz w:val="20"/>
              </w:rPr>
              <w:t>dept’s</w:t>
            </w:r>
            <w:proofErr w:type="spellEnd"/>
            <w:r w:rsidRPr="0061235C">
              <w:rPr>
                <w:rFonts w:ascii="Arial" w:hAnsi="Arial" w:cs="Arial"/>
                <w:sz w:val="20"/>
              </w:rPr>
              <w:t xml:space="preserve"> subject area</w:t>
            </w:r>
            <w:r>
              <w:rPr>
                <w:rFonts w:ascii="Arial" w:hAnsi="Arial" w:cs="Arial"/>
                <w:sz w:val="20"/>
              </w:rPr>
              <w:t>.</w:t>
            </w:r>
            <w:bookmarkStart w:id="0" w:name="_GoBack"/>
            <w:bookmarkEnd w:id="0"/>
          </w:p>
        </w:tc>
        <w:tc>
          <w:tcPr>
            <w:tcW w:w="1559" w:type="dxa"/>
          </w:tcPr>
          <w:p w:rsidR="0061235C" w:rsidRDefault="0061235C" w:rsidP="0061235C">
            <w:pPr>
              <w:pStyle w:val="Heading1"/>
              <w:spacing w:after="0"/>
            </w:pPr>
          </w:p>
        </w:tc>
        <w:tc>
          <w:tcPr>
            <w:tcW w:w="1559" w:type="dxa"/>
          </w:tcPr>
          <w:p w:rsidR="0061235C" w:rsidRDefault="0061235C" w:rsidP="0061235C">
            <w:pPr>
              <w:pStyle w:val="Heading1"/>
              <w:spacing w:after="0"/>
            </w:pPr>
          </w:p>
        </w:tc>
        <w:tc>
          <w:tcPr>
            <w:tcW w:w="1560" w:type="dxa"/>
          </w:tcPr>
          <w:p w:rsidR="0061235C" w:rsidRDefault="0061235C" w:rsidP="0061235C">
            <w:pPr>
              <w:pStyle w:val="Heading1"/>
              <w:spacing w:after="0"/>
            </w:pPr>
          </w:p>
        </w:tc>
        <w:tc>
          <w:tcPr>
            <w:tcW w:w="3250" w:type="dxa"/>
          </w:tcPr>
          <w:p w:rsidR="0061235C" w:rsidRDefault="0061235C" w:rsidP="0061235C">
            <w:pPr>
              <w:pStyle w:val="Heading1"/>
              <w:spacing w:after="0"/>
            </w:pPr>
          </w:p>
        </w:tc>
      </w:tr>
    </w:tbl>
    <w:p w:rsidR="005318C6" w:rsidRDefault="005318C6" w:rsidP="00001994">
      <w:pPr>
        <w:pStyle w:val="Heading1"/>
        <w:tabs>
          <w:tab w:val="left" w:pos="2220"/>
        </w:tabs>
        <w:spacing w:before="1440"/>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61235C">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61235C">
              <w:rPr>
                <w:rFonts w:ascii="Arial" w:hAnsi="Arial" w:cs="Arial"/>
                <w:b/>
                <w:bCs/>
                <w:noProof/>
                <w:sz w:val="18"/>
              </w:rPr>
              <w:t>3</w:t>
            </w:r>
            <w:r w:rsidRPr="003A4903">
              <w:rPr>
                <w:rFonts w:ascii="Arial" w:hAnsi="Arial" w:cs="Arial"/>
                <w:b/>
                <w:bCs/>
                <w:sz w:val="18"/>
              </w:rPr>
              <w:fldChar w:fldCharType="end"/>
            </w:r>
          </w:p>
          <w:p w:rsidR="003A4903" w:rsidRPr="003A4903" w:rsidRDefault="0033308A">
            <w:pPr>
              <w:pStyle w:val="Footer"/>
              <w:jc w:val="right"/>
            </w:pPr>
            <w:r>
              <w:rPr>
                <w:rFonts w:ascii="Arial" w:hAnsi="Arial" w:cs="Arial"/>
                <w:b/>
                <w:bCs/>
                <w:sz w:val="18"/>
              </w:rPr>
              <w:t>LIB8</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42BD1"/>
    <w:rsid w:val="00274BE8"/>
    <w:rsid w:val="0029158E"/>
    <w:rsid w:val="002A2AD4"/>
    <w:rsid w:val="002F44B6"/>
    <w:rsid w:val="003212A6"/>
    <w:rsid w:val="00322CA3"/>
    <w:rsid w:val="00332F45"/>
    <w:rsid w:val="0033308A"/>
    <w:rsid w:val="003532C2"/>
    <w:rsid w:val="003552B8"/>
    <w:rsid w:val="00371DDE"/>
    <w:rsid w:val="003A4903"/>
    <w:rsid w:val="003C5541"/>
    <w:rsid w:val="003C6E82"/>
    <w:rsid w:val="003D3326"/>
    <w:rsid w:val="003E5E37"/>
    <w:rsid w:val="004027A0"/>
    <w:rsid w:val="004054E0"/>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1235C"/>
    <w:rsid w:val="00627987"/>
    <w:rsid w:val="00634C18"/>
    <w:rsid w:val="00637FC9"/>
    <w:rsid w:val="006423B3"/>
    <w:rsid w:val="006A7D37"/>
    <w:rsid w:val="006C1926"/>
    <w:rsid w:val="00702D91"/>
    <w:rsid w:val="0070643D"/>
    <w:rsid w:val="007224E2"/>
    <w:rsid w:val="007278FB"/>
    <w:rsid w:val="0073437D"/>
    <w:rsid w:val="00784AEB"/>
    <w:rsid w:val="00795338"/>
    <w:rsid w:val="007A23F9"/>
    <w:rsid w:val="007D2BD8"/>
    <w:rsid w:val="007F1D70"/>
    <w:rsid w:val="0084737C"/>
    <w:rsid w:val="00874A9F"/>
    <w:rsid w:val="00877A72"/>
    <w:rsid w:val="008B1158"/>
    <w:rsid w:val="008C6112"/>
    <w:rsid w:val="008F0235"/>
    <w:rsid w:val="008F4301"/>
    <w:rsid w:val="00926DB1"/>
    <w:rsid w:val="009343D3"/>
    <w:rsid w:val="00961FB5"/>
    <w:rsid w:val="00993066"/>
    <w:rsid w:val="009B533D"/>
    <w:rsid w:val="009F76E3"/>
    <w:rsid w:val="00A32EE8"/>
    <w:rsid w:val="00A4141B"/>
    <w:rsid w:val="00A65CC2"/>
    <w:rsid w:val="00A80962"/>
    <w:rsid w:val="00A90585"/>
    <w:rsid w:val="00A9285B"/>
    <w:rsid w:val="00AB540A"/>
    <w:rsid w:val="00AB79A8"/>
    <w:rsid w:val="00AC0449"/>
    <w:rsid w:val="00B445E7"/>
    <w:rsid w:val="00B56092"/>
    <w:rsid w:val="00B60C5B"/>
    <w:rsid w:val="00B60E70"/>
    <w:rsid w:val="00B65ED8"/>
    <w:rsid w:val="00BA6F21"/>
    <w:rsid w:val="00BC6772"/>
    <w:rsid w:val="00C46C97"/>
    <w:rsid w:val="00CD6AA7"/>
    <w:rsid w:val="00CE5AA7"/>
    <w:rsid w:val="00CF31DC"/>
    <w:rsid w:val="00D04E41"/>
    <w:rsid w:val="00D12D7A"/>
    <w:rsid w:val="00D17F05"/>
    <w:rsid w:val="00D26675"/>
    <w:rsid w:val="00D36C17"/>
    <w:rsid w:val="00D91067"/>
    <w:rsid w:val="00DE2A52"/>
    <w:rsid w:val="00DF2F95"/>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02E04"/>
    <w:rsid w:val="00F35DAA"/>
    <w:rsid w:val="00F507D3"/>
    <w:rsid w:val="00F579FE"/>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94D98"/>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156A-FAEE-412E-83E0-21A0400A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2020-07-31T12:08:00Z</dcterms:created>
  <dcterms:modified xsi:type="dcterms:W3CDTF">2020-07-31T12:10:00Z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